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1A06E" w14:textId="34D52C5E"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AE116C" w:rsidRPr="00052390">
        <w:rPr>
          <w:rFonts w:ascii="Arial" w:hAnsi="Arial" w:cs="Arial"/>
          <w:b/>
          <w:sz w:val="24"/>
          <w:lang w:val="en-US"/>
        </w:rPr>
        <w:tab/>
      </w:r>
      <w:r w:rsidR="00AE116C" w:rsidRPr="00052390">
        <w:rPr>
          <w:rFonts w:ascii="Arial" w:hAnsi="Arial" w:cs="Arial"/>
          <w:b/>
          <w:sz w:val="24"/>
          <w:lang w:val="en-US"/>
        </w:rPr>
        <w:tab/>
      </w:r>
      <w:r w:rsidR="00B41384" w:rsidRPr="00B41384">
        <w:rPr>
          <w:rFonts w:ascii="Arial" w:hAnsi="Arial" w:cs="Arial"/>
          <w:b/>
          <w:sz w:val="24"/>
          <w:lang w:val="en-US"/>
        </w:rPr>
        <w:t>R4-1909729</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18A1A06F" w14:textId="77777777" w:rsidR="00816C9D" w:rsidRPr="0008103A" w:rsidRDefault="00816C9D" w:rsidP="00816C9D">
      <w:pPr>
        <w:rPr>
          <w:rFonts w:ascii="Arial" w:hAnsi="Arial" w:cs="Arial"/>
          <w:b/>
          <w:sz w:val="24"/>
          <w:szCs w:val="24"/>
        </w:rPr>
      </w:pPr>
    </w:p>
    <w:p w14:paraId="18A1A070" w14:textId="16F6636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F56D0" w:rsidRPr="00FD0622">
        <w:rPr>
          <w:rFonts w:ascii="Arial" w:hAnsi="Arial" w:cs="Arial"/>
          <w:sz w:val="24"/>
          <w:szCs w:val="24"/>
        </w:rPr>
        <w:t>11.2.3.2</w:t>
      </w:r>
    </w:p>
    <w:p w14:paraId="18A1A071"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18A1A072" w14:textId="45FF1903"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342494" w:rsidRPr="00FD0622">
        <w:rPr>
          <w:rFonts w:ascii="Arial" w:hAnsi="Arial" w:cs="Arial"/>
          <w:sz w:val="24"/>
          <w:szCs w:val="24"/>
        </w:rPr>
        <w:t>System Implementation</w:t>
      </w:r>
      <w:r w:rsidR="0072573C" w:rsidRPr="00FD0622">
        <w:rPr>
          <w:rFonts w:ascii="Arial" w:hAnsi="Arial" w:cs="Arial"/>
          <w:sz w:val="24"/>
          <w:szCs w:val="24"/>
        </w:rPr>
        <w:t xml:space="preserve"> of </w:t>
      </w:r>
      <w:r w:rsidR="00FE409B" w:rsidRPr="00FD0622">
        <w:rPr>
          <w:rFonts w:ascii="Arial" w:hAnsi="Arial" w:cs="Arial"/>
          <w:sz w:val="24"/>
          <w:szCs w:val="24"/>
        </w:rPr>
        <w:t xml:space="preserve">FR2 </w:t>
      </w:r>
      <w:r w:rsidR="0072573C" w:rsidRPr="00FD0622">
        <w:rPr>
          <w:rFonts w:ascii="Arial" w:hAnsi="Arial" w:cs="Arial"/>
          <w:sz w:val="24"/>
          <w:szCs w:val="24"/>
        </w:rPr>
        <w:t>3D MPAC</w:t>
      </w:r>
      <w:r w:rsidR="00B61954">
        <w:rPr>
          <w:rFonts w:ascii="Arial" w:hAnsi="Arial" w:cs="Arial"/>
          <w:sz w:val="24"/>
          <w:szCs w:val="24"/>
          <w:highlight w:val="yellow"/>
        </w:rPr>
        <w:t xml:space="preserve"> </w:t>
      </w:r>
      <w:r w:rsidR="00861C5F">
        <w:rPr>
          <w:rFonts w:ascii="Arial" w:hAnsi="Arial" w:cs="Arial"/>
          <w:b/>
          <w:sz w:val="24"/>
          <w:szCs w:val="24"/>
        </w:rPr>
        <w:t xml:space="preserve"> </w:t>
      </w:r>
      <w:bookmarkEnd w:id="3"/>
    </w:p>
    <w:p w14:paraId="18A1A073"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18A1A074" w14:textId="77777777" w:rsidR="00816C9D" w:rsidRDefault="00816C9D" w:rsidP="001E1CF6">
      <w:pPr>
        <w:pStyle w:val="Heading1"/>
        <w:ind w:left="567" w:hanging="567"/>
      </w:pPr>
      <w:r w:rsidRPr="00647B25">
        <w:t>Introduction</w:t>
      </w:r>
    </w:p>
    <w:p w14:paraId="77914EC0" w14:textId="5E893455" w:rsidR="004D36B9" w:rsidRDefault="000834AF" w:rsidP="000606FD">
      <w:pPr>
        <w:ind w:left="48"/>
      </w:pPr>
      <w:r>
        <w:rPr>
          <w:rFonts w:eastAsia="Batang"/>
        </w:rPr>
        <w:t xml:space="preserve">The intention of this contribution is to further evaluate the </w:t>
      </w:r>
      <w:r w:rsidR="00F0261D">
        <w:rPr>
          <w:rFonts w:eastAsia="Batang"/>
        </w:rPr>
        <w:t>minimum</w:t>
      </w:r>
      <w:r w:rsidR="008C6A09">
        <w:rPr>
          <w:rFonts w:eastAsia="Batang"/>
        </w:rPr>
        <w:t xml:space="preserve"> number of probes </w:t>
      </w:r>
      <w:r w:rsidR="004C2177">
        <w:rPr>
          <w:rFonts w:eastAsia="Batang"/>
        </w:rPr>
        <w:t xml:space="preserve">in </w:t>
      </w:r>
      <w:r w:rsidR="00F0261D">
        <w:rPr>
          <w:rFonts w:eastAsia="Batang"/>
        </w:rPr>
        <w:t>the 3D MPAC system for NR FR2 MIMO OTA test</w:t>
      </w:r>
      <w:r w:rsidR="00504627">
        <w:rPr>
          <w:rFonts w:eastAsia="Batang"/>
        </w:rPr>
        <w:t xml:space="preserve">ing. </w:t>
      </w:r>
      <w:r w:rsidR="004C2177">
        <w:rPr>
          <w:rFonts w:eastAsia="Batang"/>
        </w:rPr>
        <w:t xml:space="preserve">Initial studies on the number of probes to be implemented inside a 3D MPAC system can be found in </w:t>
      </w:r>
      <w:r w:rsidR="00FB252B">
        <w:fldChar w:fldCharType="begin"/>
      </w:r>
      <w:r w:rsidR="00FB252B">
        <w:rPr>
          <w:rFonts w:eastAsia="Batang"/>
        </w:rPr>
        <w:instrText xml:space="preserve"> REF _Ref16678963 \r \h </w:instrText>
      </w:r>
      <w:r w:rsidR="00FB252B">
        <w:fldChar w:fldCharType="separate"/>
      </w:r>
      <w:r w:rsidR="00FB252B">
        <w:rPr>
          <w:rFonts w:eastAsia="Batang"/>
        </w:rPr>
        <w:t>[1]</w:t>
      </w:r>
      <w:r w:rsidR="00FB252B">
        <w:fldChar w:fldCharType="end"/>
      </w:r>
      <w:r w:rsidR="00DA0EFD">
        <w:t xml:space="preserve">, </w:t>
      </w:r>
      <w:r w:rsidR="00FB252B">
        <w:fldChar w:fldCharType="begin"/>
      </w:r>
      <w:r w:rsidR="00FB252B">
        <w:instrText xml:space="preserve"> REF _Ref16679253 \r \h </w:instrText>
      </w:r>
      <w:r w:rsidR="00FB252B">
        <w:fldChar w:fldCharType="separate"/>
      </w:r>
      <w:r w:rsidR="00FB252B">
        <w:t>[2]</w:t>
      </w:r>
      <w:r w:rsidR="00FB252B">
        <w:fldChar w:fldCharType="end"/>
      </w:r>
      <w:r w:rsidR="00DA0EFD">
        <w:t xml:space="preserve">, </w:t>
      </w:r>
      <w:r w:rsidR="004D36B9">
        <w:t xml:space="preserve">and </w:t>
      </w:r>
      <w:r w:rsidR="00DA0EFD">
        <w:fldChar w:fldCharType="begin"/>
      </w:r>
      <w:r w:rsidR="00DA0EFD">
        <w:instrText xml:space="preserve"> REF _Ref16679668 \r \h </w:instrText>
      </w:r>
      <w:r w:rsidR="00DA0EFD">
        <w:fldChar w:fldCharType="separate"/>
      </w:r>
      <w:r w:rsidR="00DA0EFD">
        <w:t>[3]</w:t>
      </w:r>
      <w:r w:rsidR="00DA0EFD">
        <w:fldChar w:fldCharType="end"/>
      </w:r>
      <w:r w:rsidR="004D36B9">
        <w:t xml:space="preserve">. Later, </w:t>
      </w:r>
      <w:r w:rsidR="00A571DB">
        <w:t xml:space="preserve">further investigations were conducted </w:t>
      </w:r>
      <w:r w:rsidR="00BA3F9E">
        <w:t xml:space="preserve">in </w:t>
      </w:r>
      <w:r w:rsidR="00BA3F9E">
        <w:fldChar w:fldCharType="begin"/>
      </w:r>
      <w:r w:rsidR="00BA3F9E">
        <w:instrText xml:space="preserve"> REF _Ref16679677 \r \h </w:instrText>
      </w:r>
      <w:r w:rsidR="00BA3F9E">
        <w:fldChar w:fldCharType="separate"/>
      </w:r>
      <w:r w:rsidR="00BA3F9E">
        <w:t>[4]</w:t>
      </w:r>
      <w:r w:rsidR="00BA3F9E">
        <w:fldChar w:fldCharType="end"/>
      </w:r>
      <w:r w:rsidR="00BA3F9E">
        <w:t xml:space="preserve"> and </w:t>
      </w:r>
      <w:r w:rsidR="00BA3F9E">
        <w:fldChar w:fldCharType="begin"/>
      </w:r>
      <w:r w:rsidR="00BA3F9E">
        <w:instrText xml:space="preserve"> REF _Ref16680929 \r \h </w:instrText>
      </w:r>
      <w:r w:rsidR="00BA3F9E">
        <w:fldChar w:fldCharType="separate"/>
      </w:r>
      <w:r w:rsidR="00BA3F9E">
        <w:t>[5]</w:t>
      </w:r>
      <w:r w:rsidR="00BA3F9E">
        <w:fldChar w:fldCharType="end"/>
      </w:r>
      <w:r w:rsidR="00BA3F9E">
        <w:t xml:space="preserve"> </w:t>
      </w:r>
      <w:r w:rsidR="00A571DB">
        <w:t xml:space="preserve">to evaluate the impact of different parameters (e.g., the number of probes, range length, DUT offset, channel model, etc.) on the OTA system performance. Specifically, the simulation study in </w:t>
      </w:r>
      <w:r w:rsidR="0072702D">
        <w:fldChar w:fldCharType="begin"/>
      </w:r>
      <w:r w:rsidR="0072702D">
        <w:instrText xml:space="preserve"> REF _Ref16679677 \r \h </w:instrText>
      </w:r>
      <w:r w:rsidR="0072702D">
        <w:fldChar w:fldCharType="separate"/>
      </w:r>
      <w:r w:rsidR="0072702D">
        <w:t>[4]</w:t>
      </w:r>
      <w:r w:rsidR="0072702D">
        <w:fldChar w:fldCharType="end"/>
      </w:r>
      <w:r w:rsidR="0072702D">
        <w:t xml:space="preserve"> </w:t>
      </w:r>
      <w:r w:rsidR="0089723D">
        <w:t>showed</w:t>
      </w:r>
      <w:r w:rsidR="00A571DB">
        <w:t xml:space="preserve"> the impact of the number of probes on the </w:t>
      </w:r>
      <w:r w:rsidR="00324F47">
        <w:t>PSP</w:t>
      </w:r>
      <w:r w:rsidR="00A571DB">
        <w:t xml:space="preserve"> for CDL models A, B, and C for UMi and InO scenarios. </w:t>
      </w:r>
      <w:r w:rsidR="00BA3F9E">
        <w:t xml:space="preserve">Then, in </w:t>
      </w:r>
      <w:r w:rsidR="0072702D">
        <w:fldChar w:fldCharType="begin"/>
      </w:r>
      <w:r w:rsidR="0072702D">
        <w:instrText xml:space="preserve"> REF _Ref16680929 \r \h </w:instrText>
      </w:r>
      <w:r w:rsidR="0072702D">
        <w:fldChar w:fldCharType="separate"/>
      </w:r>
      <w:r w:rsidR="0072702D">
        <w:t>[5]</w:t>
      </w:r>
      <w:r w:rsidR="0072702D">
        <w:fldChar w:fldCharType="end"/>
      </w:r>
      <w:r w:rsidR="0089723D">
        <w:t>,</w:t>
      </w:r>
      <w:r w:rsidR="0072702D">
        <w:t xml:space="preserve"> the </w:t>
      </w:r>
      <w:r w:rsidR="00324F47">
        <w:t>PSP</w:t>
      </w:r>
      <w:r w:rsidR="0072702D">
        <w:t xml:space="preserve"> has been evaluated by fixing the number of probes to be six, for different test zone sizes </w:t>
      </w:r>
      <w:r w:rsidR="0072702D" w:rsidRPr="00BA2F76">
        <w:t xml:space="preserve">for </w:t>
      </w:r>
      <w:r w:rsidR="0072702D">
        <w:t xml:space="preserve">the </w:t>
      </w:r>
      <w:r w:rsidR="0072702D" w:rsidRPr="00BA2F76">
        <w:t xml:space="preserve">UMi and InO scenarios </w:t>
      </w:r>
      <w:r w:rsidR="0072702D">
        <w:t xml:space="preserve">at FR2. </w:t>
      </w:r>
    </w:p>
    <w:p w14:paraId="5E3A8107" w14:textId="180329B2" w:rsidR="0072702D" w:rsidRDefault="00424ED3" w:rsidP="00424ED3">
      <w:pPr>
        <w:ind w:left="48"/>
      </w:pPr>
      <w:r>
        <w:t xml:space="preserve">The objective of this study is to evaluate the </w:t>
      </w:r>
      <w:r w:rsidR="00324F47">
        <w:t>PSP</w:t>
      </w:r>
      <w:r>
        <w:t xml:space="preserve"> when the frequency band and the number of probes </w:t>
      </w:r>
      <w:r w:rsidR="002A67DE">
        <w:t>is</w:t>
      </w:r>
      <w:r w:rsidR="00933281">
        <w:t xml:space="preserve"> </w:t>
      </w:r>
      <w:r>
        <w:t xml:space="preserve">varied along with the range length and the DUT offset; this is done by further extending the study in </w:t>
      </w:r>
      <w:r>
        <w:fldChar w:fldCharType="begin"/>
      </w:r>
      <w:r>
        <w:instrText xml:space="preserve"> REF _Ref16680929 \r \h </w:instrText>
      </w:r>
      <w:r>
        <w:fldChar w:fldCharType="separate"/>
      </w:r>
      <w:r>
        <w:t>[5]</w:t>
      </w:r>
      <w:r>
        <w:fldChar w:fldCharType="end"/>
      </w:r>
      <w:r>
        <w:t>.</w:t>
      </w:r>
      <w:r w:rsidR="006E1A51">
        <w:t xml:space="preserve"> </w:t>
      </w:r>
      <w:r w:rsidR="008B3A31">
        <w:t>The</w:t>
      </w:r>
      <w:r w:rsidR="006E1A51">
        <w:t xml:space="preserve"> simulations </w:t>
      </w:r>
      <w:r w:rsidR="008B3A31">
        <w:t xml:space="preserve">are </w:t>
      </w:r>
      <w:r w:rsidR="006E1A51">
        <w:t>for both 28 GHz and 40 GHz frequency bands</w:t>
      </w:r>
      <w:r w:rsidR="008B3A31">
        <w:t xml:space="preserve"> and </w:t>
      </w:r>
      <w:r w:rsidR="006E1A51">
        <w:t>for 6 and 8 probes configurations</w:t>
      </w:r>
      <w:r w:rsidR="006A497E">
        <w:t xml:space="preserve"> while</w:t>
      </w:r>
      <w:r w:rsidR="006E1A51">
        <w:t xml:space="preserve"> varying the range length along with the DUT offset. </w:t>
      </w:r>
    </w:p>
    <w:p w14:paraId="0A78149C" w14:textId="37B06954" w:rsidR="00565046" w:rsidRDefault="00565046" w:rsidP="00565046">
      <w:pPr>
        <w:pStyle w:val="Heading1"/>
        <w:ind w:left="567" w:hanging="567"/>
      </w:pPr>
      <w:r>
        <w:t xml:space="preserve">Simulation </w:t>
      </w:r>
      <w:r w:rsidR="0072702D">
        <w:t>Model</w:t>
      </w:r>
      <w:r w:rsidR="0056721A">
        <w:t xml:space="preserve"> and Results</w:t>
      </w:r>
    </w:p>
    <w:p w14:paraId="730E6FCF" w14:textId="0C761DB1" w:rsidR="0056721A" w:rsidRDefault="0056721A" w:rsidP="006B41E4">
      <w:pPr>
        <w:rPr>
          <w:rFonts w:eastAsia="Yu Mincho"/>
        </w:rPr>
      </w:pPr>
      <w:r>
        <w:rPr>
          <w:lang w:eastAsia="ja-JP"/>
        </w:rPr>
        <w:t xml:space="preserve">In this study, we use the same simulation model as we have used in our previous contribution </w:t>
      </w:r>
      <w:r w:rsidR="0075666F">
        <w:rPr>
          <w:lang w:eastAsia="ja-JP"/>
        </w:rPr>
        <w:fldChar w:fldCharType="begin"/>
      </w:r>
      <w:r w:rsidR="0075666F">
        <w:rPr>
          <w:lang w:eastAsia="ja-JP"/>
        </w:rPr>
        <w:instrText xml:space="preserve"> REF _Ref16680929 \r \h </w:instrText>
      </w:r>
      <w:r w:rsidR="0075666F">
        <w:rPr>
          <w:lang w:eastAsia="ja-JP"/>
        </w:rPr>
      </w:r>
      <w:r w:rsidR="0075666F">
        <w:rPr>
          <w:lang w:eastAsia="ja-JP"/>
        </w:rPr>
        <w:fldChar w:fldCharType="separate"/>
      </w:r>
      <w:r w:rsidR="0075666F">
        <w:rPr>
          <w:lang w:eastAsia="ja-JP"/>
        </w:rPr>
        <w:t>[5]</w:t>
      </w:r>
      <w:r w:rsidR="0075666F">
        <w:rPr>
          <w:lang w:eastAsia="ja-JP"/>
        </w:rPr>
        <w:fldChar w:fldCharType="end"/>
      </w:r>
      <w:r>
        <w:rPr>
          <w:lang w:eastAsia="ja-JP"/>
        </w:rPr>
        <w:t xml:space="preserve">, and extend the model to support 8 probes and </w:t>
      </w:r>
      <w:r w:rsidR="006A497E">
        <w:rPr>
          <w:lang w:eastAsia="ja-JP"/>
        </w:rPr>
        <w:t xml:space="preserve">the </w:t>
      </w:r>
      <w:r>
        <w:rPr>
          <w:lang w:eastAsia="ja-JP"/>
        </w:rPr>
        <w:t xml:space="preserve">40 GHz frequency band. </w:t>
      </w:r>
      <w:r w:rsidR="00AF044C">
        <w:rPr>
          <w:lang w:eastAsia="ja-JP"/>
        </w:rPr>
        <w:t xml:space="preserve">Note that </w:t>
      </w:r>
      <w:r w:rsidR="006B41E4">
        <w:rPr>
          <w:lang w:eastAsia="ja-JP"/>
        </w:rPr>
        <w:t xml:space="preserve">in our simulations, we use the </w:t>
      </w:r>
      <w:r w:rsidR="006B41E4" w:rsidRPr="00BA2F76">
        <w:t xml:space="preserve">same 3D probe locations for each of the channel model and scenario configurations. </w:t>
      </w:r>
      <w:r w:rsidR="006B41E4" w:rsidRPr="00BA2F76">
        <w:rPr>
          <w:rFonts w:eastAsia="Yu Mincho"/>
        </w:rPr>
        <w:t xml:space="preserve">Therefore, the </w:t>
      </w:r>
      <w:r w:rsidR="00B32352">
        <w:rPr>
          <w:rFonts w:eastAsia="Yu Mincho"/>
        </w:rPr>
        <w:t>minimum</w:t>
      </w:r>
      <w:r w:rsidR="00B32352" w:rsidRPr="00BA2F76">
        <w:rPr>
          <w:rFonts w:eastAsia="Yu Mincho"/>
        </w:rPr>
        <w:t xml:space="preserve"> </w:t>
      </w:r>
      <w:r w:rsidR="006B41E4" w:rsidRPr="00BA2F76">
        <w:rPr>
          <w:rFonts w:eastAsia="Yu Mincho"/>
        </w:rPr>
        <w:t xml:space="preserve">number of probes </w:t>
      </w:r>
      <w:r w:rsidR="00B32352">
        <w:rPr>
          <w:rFonts w:eastAsia="Yu Mincho"/>
        </w:rPr>
        <w:t>can be reduced</w:t>
      </w:r>
      <w:r w:rsidR="00751A0A">
        <w:rPr>
          <w:rFonts w:eastAsia="Yu Mincho"/>
        </w:rPr>
        <w:t xml:space="preserve"> for a subset of channel models</w:t>
      </w:r>
      <w:r w:rsidR="00EC11C2">
        <w:rPr>
          <w:rFonts w:eastAsia="Yu Mincho"/>
        </w:rPr>
        <w:t xml:space="preserve">. </w:t>
      </w:r>
      <w:r w:rsidR="00567AFA">
        <w:rPr>
          <w:rFonts w:eastAsia="Yu Mincho"/>
        </w:rPr>
        <w:t>Here</w:t>
      </w:r>
      <w:r w:rsidR="007255E2">
        <w:rPr>
          <w:rFonts w:eastAsia="Yu Mincho"/>
        </w:rPr>
        <w:t xml:space="preserve">, the </w:t>
      </w:r>
      <w:r w:rsidR="00567AFA">
        <w:rPr>
          <w:rFonts w:eastAsia="Yu Mincho"/>
        </w:rPr>
        <w:t xml:space="preserve">fixed probe </w:t>
      </w:r>
      <w:r w:rsidR="007255E2">
        <w:rPr>
          <w:rFonts w:eastAsia="Yu Mincho"/>
        </w:rPr>
        <w:t xml:space="preserve">locations </w:t>
      </w:r>
      <w:r w:rsidR="00D753EC">
        <w:rPr>
          <w:rFonts w:eastAsia="Yu Mincho"/>
        </w:rPr>
        <w:t xml:space="preserve">are selected to </w:t>
      </w:r>
      <w:r w:rsidR="007255E2">
        <w:rPr>
          <w:rFonts w:eastAsia="Yu Mincho"/>
        </w:rPr>
        <w:t xml:space="preserve">support multiple models and scenarios without moving or switching off the probes. </w:t>
      </w:r>
    </w:p>
    <w:p w14:paraId="1941C6A0" w14:textId="5158427F" w:rsidR="002A67DE" w:rsidRDefault="00D753EC" w:rsidP="006B41E4">
      <w:pPr>
        <w:rPr>
          <w:lang w:val="en-US"/>
        </w:rPr>
      </w:pPr>
      <w:r>
        <w:rPr>
          <w:lang w:eastAsia="ja-JP"/>
        </w:rPr>
        <w:t>In our</w:t>
      </w:r>
      <w:r w:rsidR="006C15D7">
        <w:rPr>
          <w:lang w:eastAsia="ja-JP"/>
        </w:rPr>
        <w:t xml:space="preserve"> previous study </w:t>
      </w:r>
      <w:r w:rsidR="006C15D7">
        <w:rPr>
          <w:lang w:eastAsia="ja-JP"/>
        </w:rPr>
        <w:fldChar w:fldCharType="begin"/>
      </w:r>
      <w:r w:rsidR="006C15D7">
        <w:rPr>
          <w:lang w:eastAsia="ja-JP"/>
        </w:rPr>
        <w:instrText xml:space="preserve"> REF _Ref16679677 \r \h </w:instrText>
      </w:r>
      <w:r w:rsidR="006C15D7">
        <w:rPr>
          <w:lang w:eastAsia="ja-JP"/>
        </w:rPr>
      </w:r>
      <w:r w:rsidR="006C15D7">
        <w:rPr>
          <w:lang w:eastAsia="ja-JP"/>
        </w:rPr>
        <w:fldChar w:fldCharType="separate"/>
      </w:r>
      <w:r w:rsidR="006C15D7">
        <w:rPr>
          <w:lang w:eastAsia="ja-JP"/>
        </w:rPr>
        <w:t>[4]</w:t>
      </w:r>
      <w:r w:rsidR="006C15D7">
        <w:rPr>
          <w:lang w:eastAsia="ja-JP"/>
        </w:rPr>
        <w:fldChar w:fldCharType="end"/>
      </w:r>
      <w:r w:rsidR="006C15D7">
        <w:rPr>
          <w:lang w:eastAsia="ja-JP"/>
        </w:rPr>
        <w:t xml:space="preserve">, we conducted a simulation study to </w:t>
      </w:r>
      <w:r w:rsidR="00764439">
        <w:rPr>
          <w:lang w:eastAsia="ja-JP"/>
        </w:rPr>
        <w:t>observe</w:t>
      </w:r>
      <w:r w:rsidR="006C15D7">
        <w:rPr>
          <w:lang w:eastAsia="ja-JP"/>
        </w:rPr>
        <w:t xml:space="preserve"> the impact of number of probes on the </w:t>
      </w:r>
      <w:r w:rsidR="007F59A9">
        <w:t>PAS similarity percentage (</w:t>
      </w:r>
      <w:r w:rsidR="006C15D7">
        <w:rPr>
          <w:lang w:eastAsia="ja-JP"/>
        </w:rPr>
        <w:t>PSP</w:t>
      </w:r>
      <w:r w:rsidR="007F59A9">
        <w:rPr>
          <w:lang w:eastAsia="ja-JP"/>
        </w:rPr>
        <w:t>)</w:t>
      </w:r>
      <w:r w:rsidR="006C15D7">
        <w:rPr>
          <w:lang w:eastAsia="ja-JP"/>
        </w:rPr>
        <w:t xml:space="preserve"> for a fixed </w:t>
      </w:r>
      <w:r w:rsidR="00EF581A">
        <w:rPr>
          <w:lang w:eastAsia="ja-JP"/>
        </w:rPr>
        <w:t>range length and offset at 28 GHz band for UMi and InO scenarios using CDL</w:t>
      </w:r>
      <w:r w:rsidR="00693874">
        <w:rPr>
          <w:lang w:eastAsia="ja-JP"/>
        </w:rPr>
        <w:t>-</w:t>
      </w:r>
      <w:r w:rsidR="00EF581A">
        <w:rPr>
          <w:lang w:eastAsia="ja-JP"/>
        </w:rPr>
        <w:t xml:space="preserve">A and C models. </w:t>
      </w:r>
      <w:r w:rsidR="00764439">
        <w:rPr>
          <w:lang w:eastAsia="ja-JP"/>
        </w:rPr>
        <w:t xml:space="preserve">In </w:t>
      </w:r>
      <w:r w:rsidR="00764439">
        <w:rPr>
          <w:lang w:val="en-US"/>
        </w:rPr>
        <w:fldChar w:fldCharType="begin"/>
      </w:r>
      <w:r w:rsidR="00764439">
        <w:rPr>
          <w:lang w:val="en-US"/>
        </w:rPr>
        <w:instrText xml:space="preserve"> REF _Ref8820052 \h </w:instrText>
      </w:r>
      <w:r w:rsidR="00764439">
        <w:rPr>
          <w:lang w:val="en-US"/>
        </w:rPr>
      </w:r>
      <w:r w:rsidR="00764439">
        <w:rPr>
          <w:lang w:val="en-US"/>
        </w:rPr>
        <w:fldChar w:fldCharType="separate"/>
      </w:r>
      <w:r w:rsidR="00764439">
        <w:t xml:space="preserve">Figure </w:t>
      </w:r>
      <w:r w:rsidR="00764439">
        <w:rPr>
          <w:noProof/>
        </w:rPr>
        <w:t>1</w:t>
      </w:r>
      <w:r w:rsidR="00764439">
        <w:rPr>
          <w:lang w:val="en-US"/>
        </w:rPr>
        <w:fldChar w:fldCharType="end"/>
      </w:r>
      <w:r w:rsidR="00764439">
        <w:rPr>
          <w:lang w:val="en-US"/>
        </w:rPr>
        <w:t xml:space="preserve">, we have extracted some of the results from </w:t>
      </w:r>
      <w:r w:rsidR="00764439">
        <w:rPr>
          <w:lang w:val="en-US"/>
        </w:rPr>
        <w:fldChar w:fldCharType="begin"/>
      </w:r>
      <w:r w:rsidR="00764439">
        <w:rPr>
          <w:lang w:val="en-US"/>
        </w:rPr>
        <w:instrText xml:space="preserve"> REF _Ref16679677 \r \h </w:instrText>
      </w:r>
      <w:r w:rsidR="00764439">
        <w:rPr>
          <w:lang w:val="en-US"/>
        </w:rPr>
      </w:r>
      <w:r w:rsidR="00764439">
        <w:rPr>
          <w:lang w:val="en-US"/>
        </w:rPr>
        <w:fldChar w:fldCharType="separate"/>
      </w:r>
      <w:r w:rsidR="00764439">
        <w:rPr>
          <w:lang w:val="en-US"/>
        </w:rPr>
        <w:t>[4]</w:t>
      </w:r>
      <w:r w:rsidR="00764439">
        <w:rPr>
          <w:lang w:val="en-US"/>
        </w:rPr>
        <w:fldChar w:fldCharType="end"/>
      </w:r>
      <w:r w:rsidR="00764439">
        <w:rPr>
          <w:lang w:val="en-US"/>
        </w:rPr>
        <w:t xml:space="preserve"> to illustrate the behavior of PSP with the number of probes for a given range length and </w:t>
      </w:r>
      <w:r w:rsidR="00F11E93">
        <w:rPr>
          <w:lang w:val="en-US"/>
        </w:rPr>
        <w:t xml:space="preserve">without </w:t>
      </w:r>
      <w:r w:rsidR="00764439">
        <w:rPr>
          <w:lang w:val="en-US"/>
        </w:rPr>
        <w:t xml:space="preserve">DUT </w:t>
      </w:r>
      <w:r w:rsidR="006C6AD4">
        <w:rPr>
          <w:lang w:val="en-US"/>
        </w:rPr>
        <w:t xml:space="preserve">antenna </w:t>
      </w:r>
      <w:r w:rsidR="00764439">
        <w:rPr>
          <w:lang w:val="en-US"/>
        </w:rPr>
        <w:t>offset.</w:t>
      </w:r>
    </w:p>
    <w:p w14:paraId="41FBD768" w14:textId="77777777" w:rsidR="002A67DE" w:rsidRDefault="002A67DE">
      <w:pPr>
        <w:spacing w:after="0"/>
        <w:rPr>
          <w:lang w:val="en-US"/>
        </w:rPr>
      </w:pPr>
      <w:r>
        <w:rPr>
          <w:lang w:val="en-US"/>
        </w:rPr>
        <w:br w:type="page"/>
      </w:r>
    </w:p>
    <w:p w14:paraId="1B095D98" w14:textId="77777777" w:rsidR="006C15D7" w:rsidRDefault="006C15D7" w:rsidP="006B41E4">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581A" w14:paraId="2E2237C6" w14:textId="77777777" w:rsidTr="00A74427">
        <w:tc>
          <w:tcPr>
            <w:tcW w:w="4814" w:type="dxa"/>
          </w:tcPr>
          <w:p w14:paraId="7B747453" w14:textId="77777777" w:rsidR="00EF581A" w:rsidRDefault="00EF581A" w:rsidP="00FD0622">
            <w:pPr>
              <w:jc w:val="center"/>
            </w:pPr>
            <w:r>
              <w:rPr>
                <w:noProof/>
              </w:rPr>
              <w:drawing>
                <wp:inline distT="0" distB="0" distL="0" distR="0" wp14:anchorId="3E2DE59D" wp14:editId="1B392D6E">
                  <wp:extent cx="280306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3065" cy="2103120"/>
                          </a:xfrm>
                          <a:prstGeom prst="rect">
                            <a:avLst/>
                          </a:prstGeom>
                          <a:noFill/>
                          <a:ln>
                            <a:noFill/>
                          </a:ln>
                        </pic:spPr>
                      </pic:pic>
                    </a:graphicData>
                  </a:graphic>
                </wp:inline>
              </w:drawing>
            </w:r>
          </w:p>
        </w:tc>
        <w:tc>
          <w:tcPr>
            <w:tcW w:w="4815" w:type="dxa"/>
          </w:tcPr>
          <w:p w14:paraId="3D9F94F4" w14:textId="77777777" w:rsidR="00EF581A" w:rsidRDefault="00EF581A" w:rsidP="00FD0622">
            <w:pPr>
              <w:jc w:val="center"/>
            </w:pPr>
            <w:r>
              <w:rPr>
                <w:noProof/>
              </w:rPr>
              <w:drawing>
                <wp:inline distT="0" distB="0" distL="0" distR="0" wp14:anchorId="6BF0195B" wp14:editId="24D3FB85">
                  <wp:extent cx="2803065" cy="2103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3065" cy="2103120"/>
                          </a:xfrm>
                          <a:prstGeom prst="rect">
                            <a:avLst/>
                          </a:prstGeom>
                          <a:noFill/>
                          <a:ln>
                            <a:noFill/>
                          </a:ln>
                        </pic:spPr>
                      </pic:pic>
                    </a:graphicData>
                  </a:graphic>
                </wp:inline>
              </w:drawing>
            </w:r>
          </w:p>
        </w:tc>
      </w:tr>
      <w:tr w:rsidR="00EF581A" w14:paraId="1D801539" w14:textId="77777777" w:rsidTr="00A74427">
        <w:tc>
          <w:tcPr>
            <w:tcW w:w="4814" w:type="dxa"/>
          </w:tcPr>
          <w:p w14:paraId="71C26651" w14:textId="77777777" w:rsidR="00EF581A" w:rsidRDefault="00EF581A" w:rsidP="00A74427">
            <w:pPr>
              <w:jc w:val="center"/>
            </w:pPr>
            <w:r>
              <w:t>(a)</w:t>
            </w:r>
          </w:p>
        </w:tc>
        <w:tc>
          <w:tcPr>
            <w:tcW w:w="4815" w:type="dxa"/>
          </w:tcPr>
          <w:p w14:paraId="49DC24E4" w14:textId="77777777" w:rsidR="00EF581A" w:rsidRDefault="00EF581A" w:rsidP="00A74427">
            <w:pPr>
              <w:jc w:val="center"/>
            </w:pPr>
            <w:r>
              <w:t>(b)</w:t>
            </w:r>
          </w:p>
        </w:tc>
      </w:tr>
      <w:tr w:rsidR="00EF581A" w14:paraId="7F8C2329" w14:textId="77777777" w:rsidTr="00A74427">
        <w:tc>
          <w:tcPr>
            <w:tcW w:w="9629" w:type="dxa"/>
            <w:gridSpan w:val="2"/>
          </w:tcPr>
          <w:p w14:paraId="55BAEFBE" w14:textId="0D5161E9" w:rsidR="00EF581A" w:rsidRDefault="00EF581A" w:rsidP="00FD0622">
            <w:pPr>
              <w:pStyle w:val="Caption"/>
              <w:jc w:val="center"/>
            </w:pPr>
            <w:bookmarkStart w:id="4" w:name="_Ref8820035"/>
            <w:r>
              <w:t xml:space="preserve">Figure </w:t>
            </w:r>
            <w:r>
              <w:fldChar w:fldCharType="begin"/>
            </w:r>
            <w:r>
              <w:instrText xml:space="preserve"> SEQ Figure \* ARABIC </w:instrText>
            </w:r>
            <w:r>
              <w:fldChar w:fldCharType="separate"/>
            </w:r>
            <w:r>
              <w:rPr>
                <w:noProof/>
              </w:rPr>
              <w:t>1</w:t>
            </w:r>
            <w:r>
              <w:fldChar w:fldCharType="end"/>
            </w:r>
            <w:r>
              <w:t xml:space="preserve">: </w:t>
            </w:r>
            <w:r w:rsidR="00BA2153">
              <w:t>PSP as a function of the probes</w:t>
            </w:r>
            <w:r w:rsidR="00EE762C">
              <w:t xml:space="preserve"> </w:t>
            </w:r>
            <w:r w:rsidR="00E5356F">
              <w:t xml:space="preserve">with range length of 1 m and without DUT offset </w:t>
            </w:r>
            <w:r w:rsidR="006C561E">
              <w:t xml:space="preserve">a) CDL-A </w:t>
            </w:r>
            <w:r w:rsidR="00FD0622">
              <w:br/>
            </w:r>
            <w:r w:rsidR="006C561E">
              <w:t>b) CDL-C.</w:t>
            </w:r>
            <w:bookmarkEnd w:id="4"/>
          </w:p>
        </w:tc>
      </w:tr>
    </w:tbl>
    <w:p w14:paraId="7162EEEA" w14:textId="5053C4F3" w:rsidR="00EF581A" w:rsidRDefault="00EF581A" w:rsidP="006B41E4">
      <w:pPr>
        <w:rPr>
          <w:lang w:eastAsia="ja-JP"/>
        </w:rPr>
      </w:pPr>
      <w:r>
        <w:rPr>
          <w:lang w:val="en-US"/>
        </w:rPr>
        <w:t xml:space="preserve">Results in </w:t>
      </w:r>
      <w:r>
        <w:rPr>
          <w:lang w:val="en-US"/>
        </w:rPr>
        <w:fldChar w:fldCharType="begin"/>
      </w:r>
      <w:r>
        <w:rPr>
          <w:lang w:val="en-US"/>
        </w:rPr>
        <w:instrText xml:space="preserve"> REF _Ref8820052 \h </w:instrText>
      </w:r>
      <w:r>
        <w:rPr>
          <w:lang w:val="en-US"/>
        </w:rPr>
      </w:r>
      <w:r>
        <w:rPr>
          <w:lang w:val="en-US"/>
        </w:rPr>
        <w:fldChar w:fldCharType="separate"/>
      </w:r>
      <w:r>
        <w:t xml:space="preserve">Figure </w:t>
      </w:r>
      <w:r>
        <w:rPr>
          <w:noProof/>
        </w:rPr>
        <w:t>1</w:t>
      </w:r>
      <w:r>
        <w:rPr>
          <w:lang w:val="en-US"/>
        </w:rPr>
        <w:fldChar w:fldCharType="end"/>
      </w:r>
      <w:r>
        <w:rPr>
          <w:lang w:val="en-US"/>
        </w:rPr>
        <w:t xml:space="preserve">a show that </w:t>
      </w:r>
      <w:r>
        <w:rPr>
          <w:rFonts w:eastAsia="Yu Mincho"/>
        </w:rPr>
        <w:t>t</w:t>
      </w:r>
      <w:r w:rsidRPr="00BA2F76">
        <w:rPr>
          <w:rFonts w:eastAsia="Yu Mincho"/>
        </w:rPr>
        <w:t>he PSP is almost same for all simulated number of probes in the CDL-A model</w:t>
      </w:r>
      <w:r>
        <w:rPr>
          <w:rFonts w:eastAsia="Yu Mincho"/>
        </w:rPr>
        <w:t xml:space="preserve"> for UMI and InO scenarios</w:t>
      </w:r>
      <w:r w:rsidRPr="00BA2F76">
        <w:rPr>
          <w:rFonts w:eastAsia="Yu Mincho"/>
        </w:rPr>
        <w:t>.</w:t>
      </w:r>
      <w:r>
        <w:rPr>
          <w:rFonts w:eastAsia="Yu Mincho"/>
        </w:rPr>
        <w:t xml:space="preserve"> </w:t>
      </w:r>
      <w:r w:rsidRPr="00BA2F76">
        <w:rPr>
          <w:rFonts w:eastAsia="Yu Mincho"/>
        </w:rPr>
        <w:t>For CDL-C models</w:t>
      </w:r>
      <w:r w:rsidR="006323F5">
        <w:rPr>
          <w:rFonts w:eastAsia="Yu Mincho"/>
        </w:rPr>
        <w:t xml:space="preserve">, shown in </w:t>
      </w:r>
      <w:r>
        <w:rPr>
          <w:lang w:val="en-US"/>
        </w:rPr>
        <w:fldChar w:fldCharType="begin"/>
      </w:r>
      <w:r>
        <w:rPr>
          <w:lang w:val="en-US"/>
        </w:rPr>
        <w:instrText xml:space="preserve"> REF _Ref8820052 \h </w:instrText>
      </w:r>
      <w:r>
        <w:rPr>
          <w:lang w:val="en-US"/>
        </w:rPr>
      </w:r>
      <w:r>
        <w:rPr>
          <w:lang w:val="en-US"/>
        </w:rPr>
        <w:fldChar w:fldCharType="separate"/>
      </w:r>
      <w:r>
        <w:t xml:space="preserve">Figure </w:t>
      </w:r>
      <w:r>
        <w:rPr>
          <w:noProof/>
        </w:rPr>
        <w:t>1</w:t>
      </w:r>
      <w:r>
        <w:rPr>
          <w:lang w:val="en-US"/>
        </w:rPr>
        <w:fldChar w:fldCharType="end"/>
      </w:r>
      <w:r>
        <w:rPr>
          <w:lang w:val="en-US"/>
        </w:rPr>
        <w:t>b</w:t>
      </w:r>
      <w:r w:rsidRPr="00BA2F76">
        <w:rPr>
          <w:rFonts w:eastAsia="Yu Mincho"/>
        </w:rPr>
        <w:t>, the PSP metric is almost saturated after eight probes.</w:t>
      </w:r>
      <w:r>
        <w:rPr>
          <w:rFonts w:eastAsia="Yu Mincho"/>
        </w:rPr>
        <w:t xml:space="preserve"> In th</w:t>
      </w:r>
      <w:r w:rsidR="00764439">
        <w:rPr>
          <w:rFonts w:eastAsia="Yu Mincho"/>
        </w:rPr>
        <w:t>e current</w:t>
      </w:r>
      <w:r>
        <w:rPr>
          <w:rFonts w:eastAsia="Yu Mincho"/>
        </w:rPr>
        <w:t xml:space="preserve"> study, we extend the simulations to further investigate the impact of probes by varying the range length and the DUT offset for different frequency bands.</w:t>
      </w:r>
    </w:p>
    <w:p w14:paraId="20589F79" w14:textId="0A425DF7" w:rsidR="00DB328D" w:rsidRDefault="00605410" w:rsidP="00565046">
      <w:pPr>
        <w:rPr>
          <w:lang w:eastAsia="ja-JP"/>
        </w:rPr>
      </w:pPr>
      <w:r>
        <w:rPr>
          <w:lang w:eastAsia="ja-JP"/>
        </w:rPr>
        <w:t>T</w:t>
      </w:r>
      <w:r w:rsidR="00565046">
        <w:rPr>
          <w:lang w:eastAsia="ja-JP"/>
        </w:rPr>
        <w:t xml:space="preserve">he results </w:t>
      </w:r>
      <w:r>
        <w:rPr>
          <w:lang w:eastAsia="ja-JP"/>
        </w:rPr>
        <w:t xml:space="preserve">in this contribution are </w:t>
      </w:r>
      <w:r w:rsidR="00565046">
        <w:rPr>
          <w:lang w:eastAsia="ja-JP"/>
        </w:rPr>
        <w:t xml:space="preserve">for CDL A and C models for UMi and InO scenarios for both 28 GHz and 40 GHz frequency bands by varying the number of probes from 6 to 8. In </w:t>
      </w:r>
      <w:r w:rsidR="008934DC">
        <w:rPr>
          <w:lang w:eastAsia="ja-JP"/>
        </w:rPr>
        <w:t xml:space="preserve">all </w:t>
      </w:r>
      <w:r w:rsidR="00565046">
        <w:rPr>
          <w:lang w:eastAsia="ja-JP"/>
        </w:rPr>
        <w:t xml:space="preserve">our </w:t>
      </w:r>
      <w:r w:rsidR="00565046" w:rsidRPr="00BA2F76">
        <w:t>simulations</w:t>
      </w:r>
      <w:r w:rsidR="00565046">
        <w:t>, we have</w:t>
      </w:r>
      <w:r w:rsidR="00565046" w:rsidRPr="00BA2F76">
        <w:t xml:space="preserve"> used the same </w:t>
      </w:r>
      <w:r w:rsidR="00565046">
        <w:t xml:space="preserve">fixed </w:t>
      </w:r>
      <w:r w:rsidR="00565046" w:rsidRPr="00BA2F76">
        <w:t>probe locations</w:t>
      </w:r>
      <w:r w:rsidR="00D87DA9">
        <w:t xml:space="preserve">, </w:t>
      </w:r>
      <w:r w:rsidR="00565046">
        <w:t xml:space="preserve">i.e., the locations of 6 probes and 8 probes are kept fixed </w:t>
      </w:r>
      <w:r w:rsidR="00565046" w:rsidRPr="00BA2F76">
        <w:t>for each of the channel model</w:t>
      </w:r>
      <w:r w:rsidR="008934DC">
        <w:t>, frequency,</w:t>
      </w:r>
      <w:r w:rsidR="00565046" w:rsidRPr="00BA2F76">
        <w:t xml:space="preserve"> and scenario configurations</w:t>
      </w:r>
      <w:r w:rsidR="00565046">
        <w:t>.</w:t>
      </w:r>
      <w:r w:rsidR="0049192E">
        <w:t xml:space="preserve"> </w:t>
      </w:r>
      <w:r w:rsidR="00DB328D">
        <w:rPr>
          <w:lang w:eastAsia="ja-JP"/>
        </w:rPr>
        <w:t xml:space="preserve">Compared to the previous contribution in </w:t>
      </w:r>
      <w:r w:rsidR="00DB328D">
        <w:rPr>
          <w:lang w:eastAsia="ja-JP"/>
        </w:rPr>
        <w:fldChar w:fldCharType="begin"/>
      </w:r>
      <w:r w:rsidR="00DB328D">
        <w:rPr>
          <w:lang w:eastAsia="ja-JP"/>
        </w:rPr>
        <w:instrText xml:space="preserve"> REF _Ref16680929 \r \h </w:instrText>
      </w:r>
      <w:r w:rsidR="00DB328D">
        <w:rPr>
          <w:lang w:eastAsia="ja-JP"/>
        </w:rPr>
      </w:r>
      <w:r w:rsidR="00DB328D">
        <w:rPr>
          <w:lang w:eastAsia="ja-JP"/>
        </w:rPr>
        <w:fldChar w:fldCharType="separate"/>
      </w:r>
      <w:r w:rsidR="00DB328D">
        <w:rPr>
          <w:lang w:eastAsia="ja-JP"/>
        </w:rPr>
        <w:t>[5]</w:t>
      </w:r>
      <w:r w:rsidR="00DB328D">
        <w:rPr>
          <w:lang w:eastAsia="ja-JP"/>
        </w:rPr>
        <w:fldChar w:fldCharType="end"/>
      </w:r>
      <w:r w:rsidR="00DB328D">
        <w:rPr>
          <w:lang w:eastAsia="ja-JP"/>
        </w:rPr>
        <w:t xml:space="preserve"> (results were presented only for 28 GHz with 6 probes), in this contribution we have added more simulation results by adding results for the 8 probes case, and then by extending all the simulations</w:t>
      </w:r>
      <w:r w:rsidR="00D87DA9">
        <w:rPr>
          <w:lang w:eastAsia="ja-JP"/>
        </w:rPr>
        <w:t xml:space="preserve">, </w:t>
      </w:r>
      <w:r w:rsidR="00DB328D">
        <w:rPr>
          <w:lang w:eastAsia="ja-JP"/>
        </w:rPr>
        <w:t xml:space="preserve">i.e., the simulations for 6 and 8 probes case to 40 GHz frequency band. </w:t>
      </w:r>
    </w:p>
    <w:p w14:paraId="16481939" w14:textId="6B926B30" w:rsidR="00A95A5D" w:rsidRDefault="0049192E" w:rsidP="00565046">
      <w:r>
        <w:t xml:space="preserve">Results in </w:t>
      </w:r>
      <w:r>
        <w:fldChar w:fldCharType="begin"/>
      </w:r>
      <w:r>
        <w:instrText xml:space="preserve"> REF _Ref16683200 \h </w:instrText>
      </w:r>
      <w:r>
        <w:fldChar w:fldCharType="separate"/>
      </w:r>
      <w:r w:rsidR="008E6753">
        <w:t xml:space="preserve">Figure </w:t>
      </w:r>
      <w:r w:rsidR="008E6753">
        <w:rPr>
          <w:noProof/>
        </w:rPr>
        <w:t>2</w:t>
      </w:r>
      <w:r>
        <w:fldChar w:fldCharType="end"/>
      </w:r>
      <w:r>
        <w:t xml:space="preserve"> show that at 28 GHz band</w:t>
      </w:r>
      <w:r w:rsidR="00D319B9">
        <w:t xml:space="preserve"> in InO scenario</w:t>
      </w:r>
      <w:r>
        <w:t xml:space="preserve">, </w:t>
      </w:r>
      <w:r w:rsidR="00D319B9">
        <w:t>the PSP value decreases</w:t>
      </w:r>
      <w:r w:rsidR="00E93A99">
        <w:t xml:space="preserve"> when the DUT offset increases</w:t>
      </w:r>
      <w:r w:rsidR="00D319B9">
        <w:t xml:space="preserve">; </w:t>
      </w:r>
      <w:r w:rsidR="00E2212A">
        <w:t>however,</w:t>
      </w:r>
      <w:r w:rsidR="00D319B9">
        <w:t xml:space="preserve"> by increasing the range length the PSP value can be increased. Results</w:t>
      </w:r>
      <w:r w:rsidR="00135E0A">
        <w:t xml:space="preserve"> in </w:t>
      </w:r>
      <w:r w:rsidR="00135E0A">
        <w:fldChar w:fldCharType="begin"/>
      </w:r>
      <w:r w:rsidR="00135E0A">
        <w:instrText xml:space="preserve"> REF _Ref16683200 \h </w:instrText>
      </w:r>
      <w:r w:rsidR="00135E0A">
        <w:fldChar w:fldCharType="separate"/>
      </w:r>
      <w:r w:rsidR="008E6753">
        <w:t xml:space="preserve">Figure </w:t>
      </w:r>
      <w:r w:rsidR="008E6753">
        <w:rPr>
          <w:noProof/>
        </w:rPr>
        <w:t>2</w:t>
      </w:r>
      <w:r w:rsidR="00135E0A">
        <w:fldChar w:fldCharType="end"/>
      </w:r>
      <w:r w:rsidR="00135E0A">
        <w:t>a</w:t>
      </w:r>
      <w:r w:rsidR="00D319B9">
        <w:t xml:space="preserve"> illustrates that </w:t>
      </w:r>
      <w:r w:rsidR="00135E0A">
        <w:t xml:space="preserve">for CDL-A model, </w:t>
      </w:r>
      <w:r w:rsidR="00B61954">
        <w:t xml:space="preserve">increasing the number of probes to 8 does not help to improve PSP, and the performance obtained using 6 and 8 probes are very close to each other (note the solid line-use to represent results for 6 probes and the dashed line-used to represent results for 8 probes are nearly overlapping). </w:t>
      </w:r>
      <w:r w:rsidR="00135E0A">
        <w:t xml:space="preserve">In contrast to CDL-A scenario, results in </w:t>
      </w:r>
      <w:r w:rsidR="00135E0A">
        <w:fldChar w:fldCharType="begin"/>
      </w:r>
      <w:r w:rsidR="00135E0A">
        <w:instrText xml:space="preserve"> REF _Ref16683200 \h </w:instrText>
      </w:r>
      <w:r w:rsidR="00135E0A">
        <w:fldChar w:fldCharType="separate"/>
      </w:r>
      <w:r w:rsidR="008E6753">
        <w:t xml:space="preserve">Figure </w:t>
      </w:r>
      <w:r w:rsidR="008E6753">
        <w:rPr>
          <w:noProof/>
        </w:rPr>
        <w:t>2</w:t>
      </w:r>
      <w:r w:rsidR="00135E0A">
        <w:fldChar w:fldCharType="end"/>
      </w:r>
      <w:r w:rsidR="00135E0A">
        <w:t xml:space="preserve">b show that for CDL-C model there is a slight improvement in the PSP when the number of probes </w:t>
      </w:r>
      <w:r w:rsidR="00E2212A">
        <w:t>is</w:t>
      </w:r>
      <w:r w:rsidR="00135E0A">
        <w:t xml:space="preserve"> increased from 6 to 8. </w:t>
      </w:r>
    </w:p>
    <w:p w14:paraId="6B270F97" w14:textId="77777777" w:rsidR="00A95A5D" w:rsidRDefault="00A95A5D">
      <w:pPr>
        <w:spacing w:after="0"/>
      </w:pPr>
      <w:r>
        <w:br w:type="page"/>
      </w:r>
    </w:p>
    <w:p w14:paraId="58F935D1" w14:textId="77777777" w:rsidR="00B61954" w:rsidRDefault="00B61954" w:rsidP="00565046">
      <w:bookmarkStart w:id="5" w:name="_GoBack"/>
      <w:bookmarkEnd w:id="5"/>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6"/>
        <w:gridCol w:w="4096"/>
      </w:tblGrid>
      <w:tr w:rsidR="004D33F8" w:rsidRPr="00C36BE1" w14:paraId="72EC5BFD" w14:textId="77777777" w:rsidTr="00FD0622">
        <w:trPr>
          <w:jc w:val="center"/>
        </w:trPr>
        <w:tc>
          <w:tcPr>
            <w:tcW w:w="4056" w:type="dxa"/>
          </w:tcPr>
          <w:p w14:paraId="6B1ADD17" w14:textId="77777777" w:rsidR="004D33F8" w:rsidRPr="00C36BE1" w:rsidRDefault="004D33F8" w:rsidP="00FD0622">
            <w:pPr>
              <w:spacing w:after="0"/>
              <w:jc w:val="center"/>
              <w:rPr>
                <w:sz w:val="18"/>
                <w:szCs w:val="18"/>
              </w:rPr>
            </w:pPr>
            <w:r w:rsidRPr="00C36BE1">
              <w:rPr>
                <w:noProof/>
                <w:sz w:val="18"/>
                <w:szCs w:val="18"/>
              </w:rPr>
              <w:drawing>
                <wp:inline distT="0" distB="0" distL="0" distR="0" wp14:anchorId="774A477E" wp14:editId="77A5ABEC">
                  <wp:extent cx="2438890" cy="182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890" cy="1828800"/>
                          </a:xfrm>
                          <a:prstGeom prst="rect">
                            <a:avLst/>
                          </a:prstGeom>
                          <a:noFill/>
                          <a:ln>
                            <a:noFill/>
                          </a:ln>
                        </pic:spPr>
                      </pic:pic>
                    </a:graphicData>
                  </a:graphic>
                </wp:inline>
              </w:drawing>
            </w:r>
          </w:p>
        </w:tc>
        <w:tc>
          <w:tcPr>
            <w:tcW w:w="4096" w:type="dxa"/>
          </w:tcPr>
          <w:p w14:paraId="2DAD7849" w14:textId="77777777" w:rsidR="004D33F8" w:rsidRPr="00C36BE1" w:rsidRDefault="004D33F8" w:rsidP="00FD0622">
            <w:pPr>
              <w:spacing w:after="0"/>
              <w:jc w:val="center"/>
              <w:rPr>
                <w:sz w:val="18"/>
                <w:szCs w:val="18"/>
              </w:rPr>
            </w:pPr>
            <w:r w:rsidRPr="00C36BE1">
              <w:rPr>
                <w:noProof/>
                <w:sz w:val="18"/>
                <w:szCs w:val="18"/>
              </w:rPr>
              <w:drawing>
                <wp:inline distT="0" distB="0" distL="0" distR="0" wp14:anchorId="29C18661" wp14:editId="004D04A5">
                  <wp:extent cx="2438890" cy="182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38890" cy="1828800"/>
                          </a:xfrm>
                          <a:prstGeom prst="rect">
                            <a:avLst/>
                          </a:prstGeom>
                          <a:noFill/>
                          <a:ln>
                            <a:noFill/>
                          </a:ln>
                        </pic:spPr>
                      </pic:pic>
                    </a:graphicData>
                  </a:graphic>
                </wp:inline>
              </w:drawing>
            </w:r>
          </w:p>
        </w:tc>
      </w:tr>
      <w:tr w:rsidR="004D33F8" w:rsidRPr="00C36BE1" w14:paraId="2A5D3443" w14:textId="77777777" w:rsidTr="00FD0622">
        <w:trPr>
          <w:jc w:val="center"/>
        </w:trPr>
        <w:tc>
          <w:tcPr>
            <w:tcW w:w="4056" w:type="dxa"/>
          </w:tcPr>
          <w:p w14:paraId="7091EB96" w14:textId="77777777" w:rsidR="004D33F8" w:rsidRPr="00C36BE1" w:rsidRDefault="004D33F8" w:rsidP="00FD0622">
            <w:pPr>
              <w:spacing w:after="0"/>
              <w:jc w:val="center"/>
              <w:rPr>
                <w:sz w:val="18"/>
                <w:szCs w:val="18"/>
              </w:rPr>
            </w:pPr>
            <w:r>
              <w:rPr>
                <w:sz w:val="18"/>
                <w:szCs w:val="18"/>
              </w:rPr>
              <w:t>(a)</w:t>
            </w:r>
          </w:p>
        </w:tc>
        <w:tc>
          <w:tcPr>
            <w:tcW w:w="4096" w:type="dxa"/>
          </w:tcPr>
          <w:p w14:paraId="2907C6AA" w14:textId="77777777" w:rsidR="004D33F8" w:rsidRPr="00C36BE1" w:rsidRDefault="004D33F8" w:rsidP="00FD0622">
            <w:pPr>
              <w:spacing w:after="0"/>
              <w:jc w:val="center"/>
              <w:rPr>
                <w:sz w:val="18"/>
                <w:szCs w:val="18"/>
              </w:rPr>
            </w:pPr>
            <w:r>
              <w:rPr>
                <w:sz w:val="18"/>
                <w:szCs w:val="18"/>
              </w:rPr>
              <w:t>(b)</w:t>
            </w:r>
          </w:p>
        </w:tc>
      </w:tr>
      <w:tr w:rsidR="004D33F8" w:rsidRPr="00C36BE1" w14:paraId="33AC6277" w14:textId="77777777" w:rsidTr="00FD0622">
        <w:trPr>
          <w:jc w:val="center"/>
        </w:trPr>
        <w:tc>
          <w:tcPr>
            <w:tcW w:w="8152" w:type="dxa"/>
            <w:gridSpan w:val="2"/>
          </w:tcPr>
          <w:p w14:paraId="54AAB346" w14:textId="77777777" w:rsidR="004D33F8" w:rsidRPr="00C36BE1" w:rsidRDefault="004D33F8" w:rsidP="00FD0622">
            <w:pPr>
              <w:pStyle w:val="Caption"/>
              <w:spacing w:before="0" w:after="0"/>
              <w:jc w:val="center"/>
              <w:rPr>
                <w:sz w:val="18"/>
                <w:szCs w:val="18"/>
              </w:rPr>
            </w:pPr>
            <w:r>
              <w:t xml:space="preserve">Figure </w:t>
            </w:r>
            <w:r>
              <w:fldChar w:fldCharType="begin"/>
            </w:r>
            <w:r>
              <w:instrText xml:space="preserve"> SEQ Figure \* ARABIC </w:instrText>
            </w:r>
            <w:r>
              <w:fldChar w:fldCharType="separate"/>
            </w:r>
            <w:r>
              <w:rPr>
                <w:noProof/>
              </w:rPr>
              <w:t>2</w:t>
            </w:r>
            <w:r>
              <w:fldChar w:fldCharType="end"/>
            </w:r>
            <w:r>
              <w:t xml:space="preserve"> : </w:t>
            </w:r>
            <w:r>
              <w:rPr>
                <w:sz w:val="18"/>
                <w:szCs w:val="18"/>
              </w:rPr>
              <w:t>PSP versus DUT offset for different range lengths at 28 GHz in InO: (a) CDL-A (b) CDL-C</w:t>
            </w:r>
          </w:p>
        </w:tc>
      </w:tr>
      <w:tr w:rsidR="00232F0E" w:rsidRPr="00C36BE1" w14:paraId="2CD1D9A2" w14:textId="77777777" w:rsidTr="00FD0622">
        <w:trPr>
          <w:jc w:val="center"/>
        </w:trPr>
        <w:tc>
          <w:tcPr>
            <w:tcW w:w="4056" w:type="dxa"/>
          </w:tcPr>
          <w:p w14:paraId="01CFC401" w14:textId="77777777" w:rsidR="00232F0E" w:rsidRDefault="00232F0E" w:rsidP="007C1F9D">
            <w:pPr>
              <w:spacing w:after="0"/>
              <w:rPr>
                <w:sz w:val="18"/>
                <w:szCs w:val="18"/>
              </w:rPr>
            </w:pPr>
          </w:p>
          <w:p w14:paraId="1A9F16E8" w14:textId="77777777" w:rsidR="00232F0E" w:rsidRPr="00C36BE1" w:rsidRDefault="00232F0E" w:rsidP="007C1F9D">
            <w:pPr>
              <w:spacing w:after="0"/>
              <w:rPr>
                <w:sz w:val="18"/>
                <w:szCs w:val="18"/>
              </w:rPr>
            </w:pPr>
            <w:r w:rsidRPr="00C36BE1">
              <w:rPr>
                <w:noProof/>
                <w:sz w:val="18"/>
                <w:szCs w:val="18"/>
              </w:rPr>
              <w:drawing>
                <wp:inline distT="0" distB="0" distL="0" distR="0" wp14:anchorId="5B732D77" wp14:editId="6CA402E6">
                  <wp:extent cx="2438885"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885" cy="1828800"/>
                          </a:xfrm>
                          <a:prstGeom prst="rect">
                            <a:avLst/>
                          </a:prstGeom>
                          <a:noFill/>
                          <a:ln>
                            <a:noFill/>
                          </a:ln>
                        </pic:spPr>
                      </pic:pic>
                    </a:graphicData>
                  </a:graphic>
                </wp:inline>
              </w:drawing>
            </w:r>
          </w:p>
        </w:tc>
        <w:tc>
          <w:tcPr>
            <w:tcW w:w="4096" w:type="dxa"/>
          </w:tcPr>
          <w:p w14:paraId="643E9321" w14:textId="77777777" w:rsidR="00232F0E" w:rsidRDefault="00232F0E" w:rsidP="007C1F9D">
            <w:pPr>
              <w:spacing w:after="0"/>
              <w:rPr>
                <w:noProof/>
                <w:sz w:val="18"/>
                <w:szCs w:val="18"/>
              </w:rPr>
            </w:pPr>
          </w:p>
          <w:p w14:paraId="4F9F4974" w14:textId="77777777" w:rsidR="00232F0E" w:rsidRPr="00C36BE1" w:rsidRDefault="00232F0E" w:rsidP="007C1F9D">
            <w:pPr>
              <w:spacing w:after="0"/>
              <w:rPr>
                <w:sz w:val="18"/>
                <w:szCs w:val="18"/>
              </w:rPr>
            </w:pPr>
            <w:r w:rsidRPr="00C36BE1">
              <w:rPr>
                <w:noProof/>
                <w:sz w:val="18"/>
                <w:szCs w:val="18"/>
              </w:rPr>
              <w:drawing>
                <wp:inline distT="0" distB="0" distL="0" distR="0" wp14:anchorId="6B101522" wp14:editId="6307A2A0">
                  <wp:extent cx="2438885" cy="1828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885" cy="1828800"/>
                          </a:xfrm>
                          <a:prstGeom prst="rect">
                            <a:avLst/>
                          </a:prstGeom>
                          <a:noFill/>
                          <a:ln>
                            <a:noFill/>
                          </a:ln>
                        </pic:spPr>
                      </pic:pic>
                    </a:graphicData>
                  </a:graphic>
                </wp:inline>
              </w:drawing>
            </w:r>
          </w:p>
        </w:tc>
      </w:tr>
      <w:tr w:rsidR="00232F0E" w:rsidRPr="00C36BE1" w14:paraId="24FE2B37" w14:textId="77777777" w:rsidTr="00FD0622">
        <w:trPr>
          <w:jc w:val="center"/>
        </w:trPr>
        <w:tc>
          <w:tcPr>
            <w:tcW w:w="4056" w:type="dxa"/>
          </w:tcPr>
          <w:p w14:paraId="0996E450" w14:textId="77777777" w:rsidR="00232F0E" w:rsidRPr="00C36BE1" w:rsidRDefault="00232F0E" w:rsidP="007C1F9D">
            <w:pPr>
              <w:spacing w:after="0"/>
              <w:jc w:val="center"/>
              <w:rPr>
                <w:sz w:val="18"/>
                <w:szCs w:val="18"/>
              </w:rPr>
            </w:pPr>
            <w:r>
              <w:rPr>
                <w:sz w:val="18"/>
                <w:szCs w:val="18"/>
              </w:rPr>
              <w:t>(a)</w:t>
            </w:r>
          </w:p>
        </w:tc>
        <w:tc>
          <w:tcPr>
            <w:tcW w:w="4096" w:type="dxa"/>
          </w:tcPr>
          <w:p w14:paraId="7CC176F9" w14:textId="77777777" w:rsidR="00232F0E" w:rsidRPr="00C36BE1" w:rsidRDefault="00232F0E" w:rsidP="007C1F9D">
            <w:pPr>
              <w:spacing w:after="0"/>
              <w:jc w:val="center"/>
              <w:rPr>
                <w:sz w:val="18"/>
                <w:szCs w:val="18"/>
              </w:rPr>
            </w:pPr>
            <w:r>
              <w:rPr>
                <w:sz w:val="18"/>
                <w:szCs w:val="18"/>
              </w:rPr>
              <w:t>(b)</w:t>
            </w:r>
          </w:p>
        </w:tc>
      </w:tr>
      <w:tr w:rsidR="00232F0E" w:rsidRPr="00C36BE1" w14:paraId="564CCD77" w14:textId="77777777" w:rsidTr="00FD0622">
        <w:trPr>
          <w:jc w:val="center"/>
        </w:trPr>
        <w:tc>
          <w:tcPr>
            <w:tcW w:w="8152" w:type="dxa"/>
            <w:gridSpan w:val="2"/>
          </w:tcPr>
          <w:p w14:paraId="45CCA117" w14:textId="77777777" w:rsidR="00232F0E" w:rsidRPr="00C36BE1" w:rsidRDefault="00232F0E" w:rsidP="007C1F9D">
            <w:pPr>
              <w:pStyle w:val="Caption"/>
              <w:spacing w:before="0" w:after="0"/>
              <w:rPr>
                <w:sz w:val="18"/>
                <w:szCs w:val="18"/>
              </w:rPr>
            </w:pPr>
            <w:r>
              <w:t xml:space="preserve">Figure </w:t>
            </w:r>
            <w:r>
              <w:fldChar w:fldCharType="begin"/>
            </w:r>
            <w:r>
              <w:instrText xml:space="preserve"> SEQ Figure \* ARABIC </w:instrText>
            </w:r>
            <w:r>
              <w:fldChar w:fldCharType="separate"/>
            </w:r>
            <w:r>
              <w:rPr>
                <w:noProof/>
              </w:rPr>
              <w:t>3</w:t>
            </w:r>
            <w:r>
              <w:fldChar w:fldCharType="end"/>
            </w:r>
            <w:r>
              <w:t xml:space="preserve">: </w:t>
            </w:r>
            <w:r>
              <w:rPr>
                <w:sz w:val="18"/>
                <w:szCs w:val="18"/>
              </w:rPr>
              <w:t>PSP versus DUT offset for different range lengths at 28 GHz in UMi: (a) CDL-A (b) CDL-C</w:t>
            </w:r>
          </w:p>
        </w:tc>
      </w:tr>
    </w:tbl>
    <w:p w14:paraId="6BCF63D4" w14:textId="77777777" w:rsidR="004D33F8" w:rsidRDefault="004D33F8" w:rsidP="00A97D56">
      <w:pPr>
        <w:pStyle w:val="Caption"/>
      </w:pPr>
    </w:p>
    <w:p w14:paraId="37A86BAB" w14:textId="0E35B447" w:rsidR="00A97D56" w:rsidRDefault="00A97D56" w:rsidP="00A97D56">
      <w:pPr>
        <w:pStyle w:val="Caption"/>
      </w:pPr>
      <w:r>
        <w:t xml:space="preserve">Observation </w:t>
      </w:r>
      <w:r>
        <w:fldChar w:fldCharType="begin"/>
      </w:r>
      <w:r>
        <w:instrText xml:space="preserve"> SEQ Observation \* ARABIC </w:instrText>
      </w:r>
      <w:r>
        <w:fldChar w:fldCharType="separate"/>
      </w:r>
      <w:r w:rsidR="001266B1">
        <w:rPr>
          <w:noProof/>
        </w:rPr>
        <w:t>1</w:t>
      </w:r>
      <w:r>
        <w:fldChar w:fldCharType="end"/>
      </w:r>
      <w:r>
        <w:t xml:space="preserve">: </w:t>
      </w:r>
      <w:r w:rsidR="00A74427">
        <w:t>In InO scenario, the improvement in PSP obtained by increasing number of probes (from 6 to 8) is not significant for CDL-A and CDL-C models.</w:t>
      </w:r>
    </w:p>
    <w:p w14:paraId="6011E9D0" w14:textId="421F5CC0" w:rsidR="00CB54A8" w:rsidRDefault="00DF124F" w:rsidP="00565046">
      <w:r>
        <w:t xml:space="preserve">In </w:t>
      </w:r>
      <w:r>
        <w:fldChar w:fldCharType="begin"/>
      </w:r>
      <w:r>
        <w:instrText xml:space="preserve"> REF _Ref16684943 \h </w:instrText>
      </w:r>
      <w:r>
        <w:fldChar w:fldCharType="separate"/>
      </w:r>
      <w:r w:rsidR="008E6753">
        <w:t xml:space="preserve">Figure </w:t>
      </w:r>
      <w:r w:rsidR="008E6753">
        <w:rPr>
          <w:noProof/>
        </w:rPr>
        <w:t>3</w:t>
      </w:r>
      <w:r>
        <w:fldChar w:fldCharType="end"/>
      </w:r>
      <w:r>
        <w:t xml:space="preserve">, we present the results obtained for UMi scenario for 28 GHz band. Results show that </w:t>
      </w:r>
      <w:r w:rsidR="00A74427">
        <w:t>in</w:t>
      </w:r>
      <w:r>
        <w:t xml:space="preserve"> </w:t>
      </w:r>
      <w:r w:rsidR="008640D5">
        <w:t>UMi</w:t>
      </w:r>
      <w:r>
        <w:t xml:space="preserve"> scenario</w:t>
      </w:r>
      <w:r w:rsidR="008640D5">
        <w:t xml:space="preserve"> for CDL-A model</w:t>
      </w:r>
      <w:r>
        <w:t xml:space="preserve">, the improvement in PSP when the probes are increased from 6 to 8 is </w:t>
      </w:r>
      <w:r w:rsidR="008610FE">
        <w:t xml:space="preserve">insignificant </w:t>
      </w:r>
      <w:r>
        <w:t xml:space="preserve">(see </w:t>
      </w:r>
      <w:r>
        <w:fldChar w:fldCharType="begin"/>
      </w:r>
      <w:r>
        <w:instrText xml:space="preserve"> REF _Ref16684943 \h </w:instrText>
      </w:r>
      <w:r>
        <w:fldChar w:fldCharType="separate"/>
      </w:r>
      <w:r w:rsidR="008E6753">
        <w:t xml:space="preserve">Figure </w:t>
      </w:r>
      <w:r w:rsidR="008E6753">
        <w:rPr>
          <w:noProof/>
        </w:rPr>
        <w:t>3</w:t>
      </w:r>
      <w:r>
        <w:fldChar w:fldCharType="end"/>
      </w:r>
      <w:r>
        <w:t xml:space="preserve">a). However, </w:t>
      </w:r>
      <w:r w:rsidR="006C15D7">
        <w:t xml:space="preserve">results in </w:t>
      </w:r>
      <w:r w:rsidR="006C15D7">
        <w:fldChar w:fldCharType="begin"/>
      </w:r>
      <w:r w:rsidR="006C15D7">
        <w:instrText xml:space="preserve"> REF _Ref16684943 \h </w:instrText>
      </w:r>
      <w:r w:rsidR="006C15D7">
        <w:fldChar w:fldCharType="separate"/>
      </w:r>
      <w:r w:rsidR="008E6753">
        <w:t xml:space="preserve">Figure </w:t>
      </w:r>
      <w:r w:rsidR="008E6753">
        <w:rPr>
          <w:noProof/>
        </w:rPr>
        <w:t>3</w:t>
      </w:r>
      <w:r w:rsidR="006C15D7">
        <w:fldChar w:fldCharType="end"/>
      </w:r>
      <w:r w:rsidR="006C15D7">
        <w:t xml:space="preserve">b show that </w:t>
      </w:r>
      <w:r w:rsidR="00CB54A8">
        <w:t>compared to the CDL-A model we can see a</w:t>
      </w:r>
      <w:r w:rsidR="00A40BBD">
        <w:t xml:space="preserve">n </w:t>
      </w:r>
      <w:r w:rsidR="00CB54A8">
        <w:t>improvement in the PSP when</w:t>
      </w:r>
      <w:r w:rsidR="00A74427">
        <w:t xml:space="preserve"> </w:t>
      </w:r>
      <w:r w:rsidR="00CB54A8">
        <w:t>the channel model is changed to CDL-C</w:t>
      </w:r>
      <w:r w:rsidR="00E20E76">
        <w:t xml:space="preserve">. </w:t>
      </w:r>
      <w:r w:rsidR="00E20E76" w:rsidRPr="00BA2F76">
        <w:rPr>
          <w:rFonts w:eastAsia="Yu Mincho"/>
        </w:rPr>
        <w:t xml:space="preserve">This </w:t>
      </w:r>
      <w:r w:rsidR="00A74427">
        <w:rPr>
          <w:rFonts w:eastAsia="Yu Mincho"/>
        </w:rPr>
        <w:t xml:space="preserve">is </w:t>
      </w:r>
      <w:r w:rsidR="00E20E76" w:rsidRPr="00BA2F76">
        <w:rPr>
          <w:rFonts w:eastAsia="Yu Mincho"/>
        </w:rPr>
        <w:t xml:space="preserve">caused by the fact that </w:t>
      </w:r>
      <w:r w:rsidR="00A74427">
        <w:rPr>
          <w:rFonts w:eastAsia="Yu Mincho"/>
        </w:rPr>
        <w:t xml:space="preserve">the </w:t>
      </w:r>
      <w:r w:rsidR="00E20E76" w:rsidRPr="00BA2F76">
        <w:rPr>
          <w:rFonts w:eastAsia="Yu Mincho"/>
        </w:rPr>
        <w:t>angular dispersion is narrow</w:t>
      </w:r>
      <w:r w:rsidR="00A74427">
        <w:rPr>
          <w:rFonts w:eastAsia="Yu Mincho"/>
        </w:rPr>
        <w:t>er</w:t>
      </w:r>
      <w:r w:rsidR="00E20E76" w:rsidRPr="00BA2F76">
        <w:rPr>
          <w:rFonts w:eastAsia="Yu Mincho"/>
        </w:rPr>
        <w:t xml:space="preserve"> in </w:t>
      </w:r>
      <w:r w:rsidR="00E20E76">
        <w:rPr>
          <w:rFonts w:eastAsia="Yu Mincho"/>
        </w:rPr>
        <w:t xml:space="preserve">CDL-A </w:t>
      </w:r>
      <w:r w:rsidR="00A74427">
        <w:rPr>
          <w:rFonts w:eastAsia="Yu Mincho"/>
        </w:rPr>
        <w:t>that in</w:t>
      </w:r>
      <w:r w:rsidR="00E20E76">
        <w:rPr>
          <w:rFonts w:eastAsia="Yu Mincho"/>
        </w:rPr>
        <w:t xml:space="preserve"> CDL-C</w:t>
      </w:r>
      <w:r w:rsidR="00E20E76" w:rsidRPr="00BA2F76">
        <w:rPr>
          <w:rFonts w:eastAsia="Yu Mincho"/>
        </w:rPr>
        <w:t xml:space="preserve"> model</w:t>
      </w:r>
      <w:r w:rsidR="00E20E76">
        <w:rPr>
          <w:rFonts w:eastAsia="Yu Mincho"/>
        </w:rPr>
        <w:t>,</w:t>
      </w:r>
      <w:r w:rsidR="00E20E76" w:rsidRPr="00BA2F76">
        <w:rPr>
          <w:rFonts w:eastAsia="Yu Mincho"/>
        </w:rPr>
        <w:t xml:space="preserve"> and </w:t>
      </w:r>
      <w:r w:rsidR="00E20E76">
        <w:rPr>
          <w:rFonts w:eastAsia="Yu Mincho"/>
        </w:rPr>
        <w:t xml:space="preserve">thus, by </w:t>
      </w:r>
      <w:r w:rsidR="00E20E76" w:rsidRPr="00BA2F76">
        <w:rPr>
          <w:rFonts w:eastAsia="Yu Mincho"/>
        </w:rPr>
        <w:t xml:space="preserve">adding more probes to the space where power is weak does not </w:t>
      </w:r>
      <w:r w:rsidR="00E20E76">
        <w:rPr>
          <w:rFonts w:eastAsia="Yu Mincho"/>
        </w:rPr>
        <w:t>yield any</w:t>
      </w:r>
      <w:r w:rsidR="00E20E76" w:rsidRPr="00BA2F76">
        <w:rPr>
          <w:rFonts w:eastAsia="Yu Mincho"/>
        </w:rPr>
        <w:t xml:space="preserve"> improvement to PSP</w:t>
      </w:r>
      <w:r w:rsidR="00E20E76">
        <w:rPr>
          <w:rFonts w:eastAsia="Yu Mincho"/>
        </w:rPr>
        <w:t xml:space="preserve"> in CDL-A model</w:t>
      </w:r>
      <w:r w:rsidR="00E20E76" w:rsidRPr="00BA2F76">
        <w:rPr>
          <w:rFonts w:eastAsia="Yu Mincho"/>
        </w:rPr>
        <w:t>.</w:t>
      </w:r>
      <w:r w:rsidR="00896DB9">
        <w:rPr>
          <w:rFonts w:eastAsia="Yu Mincho"/>
        </w:rPr>
        <w:t xml:space="preserve"> Furthermore, if we compare the CDL-C models in InO and UMi scenarios</w:t>
      </w:r>
      <w:r w:rsidR="008E6753">
        <w:rPr>
          <w:rFonts w:eastAsia="Yu Mincho"/>
        </w:rPr>
        <w:t xml:space="preserve"> (i.e., </w:t>
      </w:r>
      <w:r w:rsidR="008E6753">
        <w:fldChar w:fldCharType="begin"/>
      </w:r>
      <w:r w:rsidR="008E6753">
        <w:instrText xml:space="preserve"> REF _Ref16683200 \h </w:instrText>
      </w:r>
      <w:r w:rsidR="008E6753">
        <w:fldChar w:fldCharType="separate"/>
      </w:r>
      <w:r w:rsidR="008E6753">
        <w:t xml:space="preserve">Figure </w:t>
      </w:r>
      <w:r w:rsidR="008E6753">
        <w:rPr>
          <w:noProof/>
        </w:rPr>
        <w:t>2</w:t>
      </w:r>
      <w:r w:rsidR="008E6753">
        <w:fldChar w:fldCharType="end"/>
      </w:r>
      <w:r w:rsidR="008E6753">
        <w:t xml:space="preserve">b and </w:t>
      </w:r>
      <w:r w:rsidR="008E6753">
        <w:fldChar w:fldCharType="begin"/>
      </w:r>
      <w:r w:rsidR="008E6753">
        <w:instrText xml:space="preserve"> REF _Ref16684943 \h </w:instrText>
      </w:r>
      <w:r w:rsidR="008E6753">
        <w:fldChar w:fldCharType="separate"/>
      </w:r>
      <w:r w:rsidR="008E6753">
        <w:t xml:space="preserve">Figure </w:t>
      </w:r>
      <w:r w:rsidR="008E6753">
        <w:rPr>
          <w:noProof/>
        </w:rPr>
        <w:t>3</w:t>
      </w:r>
      <w:r w:rsidR="008E6753">
        <w:fldChar w:fldCharType="end"/>
      </w:r>
      <w:r w:rsidR="008E6753">
        <w:t xml:space="preserve">b), we can observe that in UMi scenario the improvement in the PSP when 8 probes are used is larger than that of in InO scenario. The reason is that in the InO scenario, the clusters are widely spread in </w:t>
      </w:r>
      <w:r w:rsidR="002F10B6">
        <w:t xml:space="preserve">the </w:t>
      </w:r>
      <w:r w:rsidR="008E6753">
        <w:t xml:space="preserve">elevation domain, and hence, the added probes cannot improve the PSP.  </w:t>
      </w:r>
    </w:p>
    <w:p w14:paraId="4648137D" w14:textId="22532DFD" w:rsidR="001266B1" w:rsidRDefault="009D44FF" w:rsidP="009D44FF">
      <w:pPr>
        <w:pStyle w:val="Caption"/>
      </w:pPr>
      <w:r>
        <w:t xml:space="preserve">Observation </w:t>
      </w:r>
      <w:r>
        <w:fldChar w:fldCharType="begin"/>
      </w:r>
      <w:r>
        <w:instrText xml:space="preserve"> SEQ Observation \* ARABIC </w:instrText>
      </w:r>
      <w:r>
        <w:fldChar w:fldCharType="separate"/>
      </w:r>
      <w:r w:rsidR="001266B1">
        <w:rPr>
          <w:noProof/>
        </w:rPr>
        <w:t>2</w:t>
      </w:r>
      <w:r>
        <w:fldChar w:fldCharType="end"/>
      </w:r>
      <w:r>
        <w:t>:</w:t>
      </w:r>
      <w:r w:rsidR="00A74427">
        <w:t xml:space="preserve"> In UMi scenario, the improvement in PSP obtained by increasing number of probes (from 6 to 8) is not significant for CDL-A. However, for the CDL-C model the PSP</w:t>
      </w:r>
      <w:r w:rsidR="00013893">
        <w:t xml:space="preserve"> </w:t>
      </w:r>
      <w:r w:rsidR="00BC4A36">
        <w:t>is improved noticeably</w:t>
      </w:r>
      <w:r w:rsidR="00A74427">
        <w:t xml:space="preserve"> </w:t>
      </w:r>
      <w:r w:rsidR="00BC4A36">
        <w:t xml:space="preserve">with </w:t>
      </w:r>
      <w:r w:rsidR="001266B1">
        <w:t xml:space="preserve">8 probes </w:t>
      </w:r>
      <w:r w:rsidR="00BC4A36">
        <w:t xml:space="preserve">when compared to </w:t>
      </w:r>
      <w:r w:rsidR="001266B1">
        <w:t xml:space="preserve">6 probes. </w:t>
      </w:r>
    </w:p>
    <w:p w14:paraId="2EB14FFB" w14:textId="5006B98B" w:rsidR="009D44FF" w:rsidRDefault="009D44FF" w:rsidP="009D44FF">
      <w:r>
        <w:fldChar w:fldCharType="begin"/>
      </w:r>
      <w:r>
        <w:instrText xml:space="preserve"> REF _Ref16688846 \h </w:instrText>
      </w:r>
      <w:r>
        <w:fldChar w:fldCharType="separate"/>
      </w:r>
      <w:r>
        <w:t xml:space="preserve">Figure </w:t>
      </w:r>
      <w:r>
        <w:rPr>
          <w:noProof/>
        </w:rPr>
        <w:t>4</w:t>
      </w:r>
      <w:r>
        <w:fldChar w:fldCharType="end"/>
      </w:r>
      <w:r>
        <w:t xml:space="preserve"> and </w:t>
      </w:r>
      <w:r>
        <w:fldChar w:fldCharType="begin"/>
      </w:r>
      <w:r>
        <w:instrText xml:space="preserve"> REF _Ref16688848 \h </w:instrText>
      </w:r>
      <w:r>
        <w:fldChar w:fldCharType="separate"/>
      </w:r>
      <w:r>
        <w:t xml:space="preserve">Figure </w:t>
      </w:r>
      <w:r>
        <w:rPr>
          <w:noProof/>
        </w:rPr>
        <w:t>5</w:t>
      </w:r>
      <w:r>
        <w:fldChar w:fldCharType="end"/>
      </w:r>
      <w:r>
        <w:t xml:space="preserve"> </w:t>
      </w:r>
      <w:r w:rsidR="000822DE">
        <w:t xml:space="preserve">illustrate the PSP for </w:t>
      </w:r>
      <w:r>
        <w:t xml:space="preserve">40 GHz frequency band by changing the channel model and the scenario. Results show that behaviour of PSP with the DUT offset, range length, scenario, and channel model follow the same behaviour as we have seen in the case of 28 GHz band.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7"/>
        <w:gridCol w:w="4096"/>
      </w:tblGrid>
      <w:tr w:rsidR="00BB61B7" w:rsidRPr="00C36BE1" w14:paraId="35F849D7" w14:textId="77777777" w:rsidTr="0042010F">
        <w:trPr>
          <w:jc w:val="center"/>
        </w:trPr>
        <w:tc>
          <w:tcPr>
            <w:tcW w:w="4056" w:type="dxa"/>
          </w:tcPr>
          <w:p w14:paraId="6F012EB5" w14:textId="77777777" w:rsidR="00FA13CC" w:rsidRDefault="00FA13CC" w:rsidP="00C12B3C">
            <w:pPr>
              <w:spacing w:after="0"/>
              <w:jc w:val="center"/>
              <w:rPr>
                <w:noProof/>
                <w:sz w:val="18"/>
                <w:szCs w:val="18"/>
              </w:rPr>
            </w:pPr>
          </w:p>
          <w:p w14:paraId="1B69CF84" w14:textId="0A7FC413" w:rsidR="00FA13CC" w:rsidRPr="00C36BE1" w:rsidRDefault="00C81A1C" w:rsidP="00C12B3C">
            <w:pPr>
              <w:spacing w:after="0"/>
              <w:jc w:val="center"/>
              <w:rPr>
                <w:sz w:val="18"/>
                <w:szCs w:val="18"/>
              </w:rPr>
            </w:pPr>
            <w:r w:rsidRPr="00C81A1C">
              <w:rPr>
                <w:noProof/>
                <w:sz w:val="18"/>
                <w:szCs w:val="18"/>
              </w:rPr>
              <w:lastRenderedPageBreak/>
              <w:drawing>
                <wp:inline distT="0" distB="0" distL="0" distR="0" wp14:anchorId="2D9FEFD0" wp14:editId="03FBFF64">
                  <wp:extent cx="2438885" cy="1828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8885" cy="1828800"/>
                          </a:xfrm>
                          <a:prstGeom prst="rect">
                            <a:avLst/>
                          </a:prstGeom>
                          <a:noFill/>
                          <a:ln>
                            <a:noFill/>
                          </a:ln>
                        </pic:spPr>
                      </pic:pic>
                    </a:graphicData>
                  </a:graphic>
                </wp:inline>
              </w:drawing>
            </w:r>
          </w:p>
        </w:tc>
        <w:tc>
          <w:tcPr>
            <w:tcW w:w="4096" w:type="dxa"/>
          </w:tcPr>
          <w:p w14:paraId="454AB4DF" w14:textId="77777777" w:rsidR="00FA13CC" w:rsidRDefault="00FA13CC" w:rsidP="00C12B3C">
            <w:pPr>
              <w:spacing w:after="0"/>
              <w:jc w:val="center"/>
              <w:rPr>
                <w:noProof/>
                <w:sz w:val="18"/>
                <w:szCs w:val="18"/>
              </w:rPr>
            </w:pPr>
          </w:p>
          <w:p w14:paraId="5E09B882" w14:textId="34001E61" w:rsidR="00FA13CC" w:rsidRPr="00C36BE1" w:rsidRDefault="00BB61B7" w:rsidP="00C12B3C">
            <w:pPr>
              <w:spacing w:after="0"/>
              <w:jc w:val="center"/>
              <w:rPr>
                <w:sz w:val="18"/>
                <w:szCs w:val="18"/>
              </w:rPr>
            </w:pPr>
            <w:r w:rsidRPr="00BB61B7">
              <w:rPr>
                <w:noProof/>
                <w:sz w:val="18"/>
                <w:szCs w:val="18"/>
              </w:rPr>
              <w:lastRenderedPageBreak/>
              <w:drawing>
                <wp:inline distT="0" distB="0" distL="0" distR="0" wp14:anchorId="47A64092" wp14:editId="3B4196DE">
                  <wp:extent cx="2438885" cy="1828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38885" cy="1828800"/>
                          </a:xfrm>
                          <a:prstGeom prst="rect">
                            <a:avLst/>
                          </a:prstGeom>
                          <a:noFill/>
                          <a:ln>
                            <a:noFill/>
                          </a:ln>
                        </pic:spPr>
                      </pic:pic>
                    </a:graphicData>
                  </a:graphic>
                </wp:inline>
              </w:drawing>
            </w:r>
          </w:p>
        </w:tc>
      </w:tr>
      <w:tr w:rsidR="00BB61B7" w:rsidRPr="00C36BE1" w14:paraId="2AB6B2CC" w14:textId="77777777" w:rsidTr="0042010F">
        <w:trPr>
          <w:jc w:val="center"/>
        </w:trPr>
        <w:tc>
          <w:tcPr>
            <w:tcW w:w="4056" w:type="dxa"/>
          </w:tcPr>
          <w:p w14:paraId="11358531" w14:textId="77777777" w:rsidR="00FA13CC" w:rsidRPr="00C36BE1" w:rsidRDefault="00FA13CC" w:rsidP="00C12B3C">
            <w:pPr>
              <w:spacing w:after="0"/>
              <w:jc w:val="center"/>
              <w:rPr>
                <w:sz w:val="18"/>
                <w:szCs w:val="18"/>
              </w:rPr>
            </w:pPr>
            <w:r>
              <w:rPr>
                <w:sz w:val="18"/>
                <w:szCs w:val="18"/>
              </w:rPr>
              <w:lastRenderedPageBreak/>
              <w:t>(a)</w:t>
            </w:r>
          </w:p>
        </w:tc>
        <w:tc>
          <w:tcPr>
            <w:tcW w:w="4096" w:type="dxa"/>
          </w:tcPr>
          <w:p w14:paraId="4D43523C" w14:textId="77777777" w:rsidR="00FA13CC" w:rsidRPr="00C36BE1" w:rsidRDefault="00FA13CC" w:rsidP="00C12B3C">
            <w:pPr>
              <w:spacing w:after="0"/>
              <w:jc w:val="center"/>
              <w:rPr>
                <w:sz w:val="18"/>
                <w:szCs w:val="18"/>
              </w:rPr>
            </w:pPr>
            <w:r>
              <w:rPr>
                <w:sz w:val="18"/>
                <w:szCs w:val="18"/>
              </w:rPr>
              <w:t>(b)</w:t>
            </w:r>
          </w:p>
        </w:tc>
      </w:tr>
      <w:tr w:rsidR="00FA13CC" w:rsidRPr="00C36BE1" w14:paraId="212885D2" w14:textId="77777777" w:rsidTr="0042010F">
        <w:trPr>
          <w:jc w:val="center"/>
        </w:trPr>
        <w:tc>
          <w:tcPr>
            <w:tcW w:w="8152" w:type="dxa"/>
            <w:gridSpan w:val="2"/>
          </w:tcPr>
          <w:p w14:paraId="3DF5FE46" w14:textId="77777777" w:rsidR="00FA13CC" w:rsidRPr="00C36BE1" w:rsidRDefault="00FA13CC" w:rsidP="00C12B3C">
            <w:pPr>
              <w:pStyle w:val="Caption"/>
              <w:spacing w:before="0" w:after="0"/>
              <w:rPr>
                <w:sz w:val="18"/>
                <w:szCs w:val="18"/>
              </w:rPr>
            </w:pPr>
            <w:r>
              <w:t xml:space="preserve">Figure </w:t>
            </w:r>
            <w:r>
              <w:fldChar w:fldCharType="begin"/>
            </w:r>
            <w:r>
              <w:instrText xml:space="preserve"> SEQ Figure \* ARABIC </w:instrText>
            </w:r>
            <w:r>
              <w:fldChar w:fldCharType="separate"/>
            </w:r>
            <w:r>
              <w:rPr>
                <w:noProof/>
              </w:rPr>
              <w:t>4</w:t>
            </w:r>
            <w:r>
              <w:fldChar w:fldCharType="end"/>
            </w:r>
            <w:r>
              <w:t xml:space="preserve">: </w:t>
            </w:r>
            <w:r>
              <w:rPr>
                <w:sz w:val="18"/>
                <w:szCs w:val="18"/>
              </w:rPr>
              <w:t>PSP versus DUT offset for different range lengths at 40 GHz in InO: (a) CDL-A (b) CDL-C</w:t>
            </w:r>
          </w:p>
        </w:tc>
      </w:tr>
      <w:tr w:rsidR="00FA13CC" w:rsidRPr="00C36BE1" w14:paraId="55D137A9" w14:textId="77777777" w:rsidTr="00A95A5D">
        <w:trPr>
          <w:jc w:val="center"/>
        </w:trPr>
        <w:tc>
          <w:tcPr>
            <w:tcW w:w="4057" w:type="dxa"/>
          </w:tcPr>
          <w:p w14:paraId="1A994E12" w14:textId="77777777" w:rsidR="00FA13CC" w:rsidRDefault="00FA13CC" w:rsidP="00C12B3C">
            <w:pPr>
              <w:spacing w:after="0"/>
              <w:rPr>
                <w:sz w:val="18"/>
                <w:szCs w:val="18"/>
              </w:rPr>
            </w:pPr>
          </w:p>
          <w:p w14:paraId="0654C7C8" w14:textId="67FDCF2C" w:rsidR="00FA13CC" w:rsidRPr="00C36BE1" w:rsidRDefault="00DA3F71" w:rsidP="00FD0622">
            <w:pPr>
              <w:spacing w:after="0"/>
              <w:jc w:val="center"/>
              <w:rPr>
                <w:sz w:val="18"/>
                <w:szCs w:val="18"/>
              </w:rPr>
            </w:pPr>
            <w:r w:rsidRPr="00705FAB">
              <w:rPr>
                <w:noProof/>
                <w:sz w:val="18"/>
                <w:szCs w:val="18"/>
              </w:rPr>
              <w:drawing>
                <wp:inline distT="0" distB="0" distL="0" distR="0" wp14:anchorId="4DAA4528" wp14:editId="182BEBB2">
                  <wp:extent cx="2439076" cy="1828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39076" cy="1828800"/>
                          </a:xfrm>
                          <a:prstGeom prst="rect">
                            <a:avLst/>
                          </a:prstGeom>
                          <a:noFill/>
                          <a:ln>
                            <a:noFill/>
                          </a:ln>
                        </pic:spPr>
                      </pic:pic>
                    </a:graphicData>
                  </a:graphic>
                </wp:inline>
              </w:drawing>
            </w:r>
          </w:p>
        </w:tc>
        <w:tc>
          <w:tcPr>
            <w:tcW w:w="4096" w:type="dxa"/>
          </w:tcPr>
          <w:p w14:paraId="7D8102D1" w14:textId="77777777" w:rsidR="00FA13CC" w:rsidRDefault="00FA13CC" w:rsidP="00C12B3C">
            <w:pPr>
              <w:spacing w:after="0"/>
              <w:rPr>
                <w:noProof/>
                <w:sz w:val="18"/>
                <w:szCs w:val="18"/>
              </w:rPr>
            </w:pPr>
          </w:p>
          <w:p w14:paraId="595610D9" w14:textId="64FB3E61" w:rsidR="00FA13CC" w:rsidRPr="00C36BE1" w:rsidRDefault="00E20DFF" w:rsidP="00FD0622">
            <w:pPr>
              <w:spacing w:after="0"/>
              <w:jc w:val="center"/>
              <w:rPr>
                <w:sz w:val="18"/>
                <w:szCs w:val="18"/>
              </w:rPr>
            </w:pPr>
            <w:r w:rsidRPr="00E20DFF">
              <w:rPr>
                <w:noProof/>
                <w:sz w:val="18"/>
                <w:szCs w:val="18"/>
              </w:rPr>
              <w:drawing>
                <wp:inline distT="0" distB="0" distL="0" distR="0" wp14:anchorId="7FC1A067" wp14:editId="232C7CA0">
                  <wp:extent cx="2439078" cy="1828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9078" cy="1828800"/>
                          </a:xfrm>
                          <a:prstGeom prst="rect">
                            <a:avLst/>
                          </a:prstGeom>
                          <a:noFill/>
                          <a:ln>
                            <a:noFill/>
                          </a:ln>
                        </pic:spPr>
                      </pic:pic>
                    </a:graphicData>
                  </a:graphic>
                </wp:inline>
              </w:drawing>
            </w:r>
          </w:p>
        </w:tc>
      </w:tr>
      <w:tr w:rsidR="00FA13CC" w:rsidRPr="00C36BE1" w14:paraId="03431D4C" w14:textId="77777777" w:rsidTr="00A95A5D">
        <w:trPr>
          <w:jc w:val="center"/>
        </w:trPr>
        <w:tc>
          <w:tcPr>
            <w:tcW w:w="4057" w:type="dxa"/>
          </w:tcPr>
          <w:p w14:paraId="56513EA3" w14:textId="77777777" w:rsidR="00FA13CC" w:rsidRPr="00C36BE1" w:rsidRDefault="00FA13CC" w:rsidP="00C12B3C">
            <w:pPr>
              <w:spacing w:after="0"/>
              <w:jc w:val="center"/>
              <w:rPr>
                <w:sz w:val="18"/>
                <w:szCs w:val="18"/>
              </w:rPr>
            </w:pPr>
            <w:r>
              <w:rPr>
                <w:sz w:val="18"/>
                <w:szCs w:val="18"/>
              </w:rPr>
              <w:t>(a)</w:t>
            </w:r>
          </w:p>
        </w:tc>
        <w:tc>
          <w:tcPr>
            <w:tcW w:w="4096" w:type="dxa"/>
          </w:tcPr>
          <w:p w14:paraId="05DCD0CE" w14:textId="77777777" w:rsidR="00FA13CC" w:rsidRPr="00C36BE1" w:rsidRDefault="00FA13CC" w:rsidP="00C12B3C">
            <w:pPr>
              <w:spacing w:after="0"/>
              <w:jc w:val="center"/>
              <w:rPr>
                <w:sz w:val="18"/>
                <w:szCs w:val="18"/>
              </w:rPr>
            </w:pPr>
            <w:r>
              <w:rPr>
                <w:sz w:val="18"/>
                <w:szCs w:val="18"/>
              </w:rPr>
              <w:t>(b)</w:t>
            </w:r>
          </w:p>
        </w:tc>
      </w:tr>
      <w:tr w:rsidR="00FA13CC" w:rsidRPr="00C36BE1" w14:paraId="4321D704" w14:textId="77777777" w:rsidTr="00A95A5D">
        <w:trPr>
          <w:jc w:val="center"/>
        </w:trPr>
        <w:tc>
          <w:tcPr>
            <w:tcW w:w="8153" w:type="dxa"/>
            <w:gridSpan w:val="2"/>
          </w:tcPr>
          <w:p w14:paraId="40C79166" w14:textId="77777777" w:rsidR="00FA13CC" w:rsidRPr="00C36BE1" w:rsidRDefault="00FA13CC" w:rsidP="00C12B3C">
            <w:pPr>
              <w:pStyle w:val="Caption"/>
              <w:spacing w:before="0" w:after="0"/>
              <w:rPr>
                <w:sz w:val="18"/>
                <w:szCs w:val="18"/>
              </w:rPr>
            </w:pPr>
            <w:r>
              <w:t xml:space="preserve">Figure </w:t>
            </w:r>
            <w:r>
              <w:fldChar w:fldCharType="begin"/>
            </w:r>
            <w:r>
              <w:instrText xml:space="preserve"> SEQ Figure \* ARABIC </w:instrText>
            </w:r>
            <w:r>
              <w:fldChar w:fldCharType="separate"/>
            </w:r>
            <w:r>
              <w:rPr>
                <w:noProof/>
              </w:rPr>
              <w:t>5</w:t>
            </w:r>
            <w:r>
              <w:fldChar w:fldCharType="end"/>
            </w:r>
            <w:r>
              <w:t xml:space="preserve">: </w:t>
            </w:r>
            <w:r>
              <w:rPr>
                <w:sz w:val="18"/>
                <w:szCs w:val="18"/>
              </w:rPr>
              <w:t>PSP versus DUT offset for different range lengths at 40 GHz in UMi: (a) CDL-A (b) CDL-C</w:t>
            </w:r>
          </w:p>
        </w:tc>
      </w:tr>
    </w:tbl>
    <w:p w14:paraId="504FA5D2" w14:textId="77777777" w:rsidR="00FA13CC" w:rsidRDefault="00FA13CC" w:rsidP="009D44FF"/>
    <w:p w14:paraId="1DBE4C47" w14:textId="3CDAB869" w:rsidR="009D44FF" w:rsidRDefault="001266B1" w:rsidP="001266B1">
      <w:pPr>
        <w:pStyle w:val="Caption"/>
      </w:pPr>
      <w:r>
        <w:t xml:space="preserve">Observation </w:t>
      </w:r>
      <w:r>
        <w:fldChar w:fldCharType="begin"/>
      </w:r>
      <w:r>
        <w:instrText xml:space="preserve"> SEQ Observation \* ARABIC </w:instrText>
      </w:r>
      <w:r>
        <w:fldChar w:fldCharType="separate"/>
      </w:r>
      <w:r w:rsidR="00BB47FA">
        <w:rPr>
          <w:noProof/>
        </w:rPr>
        <w:t>3</w:t>
      </w:r>
      <w:r>
        <w:fldChar w:fldCharType="end"/>
      </w:r>
      <w:r>
        <w:t>:</w:t>
      </w:r>
      <w:r w:rsidR="00BB47FA">
        <w:t xml:space="preserve"> The difference in PSP </w:t>
      </w:r>
      <w:r w:rsidR="00906985">
        <w:t xml:space="preserve">between 28GHz and 40GHz for the studied </w:t>
      </w:r>
      <w:r w:rsidR="00F21981">
        <w:t xml:space="preserve">channel models, scenarios, range lengths, and DUT antenna offsets is insignificant. </w:t>
      </w:r>
    </w:p>
    <w:p w14:paraId="43DC3521" w14:textId="0BBF05CA" w:rsidR="009D44FF" w:rsidRDefault="00542908" w:rsidP="00E03F11">
      <w:r>
        <w:t>Given the results presented in this contribution</w:t>
      </w:r>
      <w:r w:rsidR="00B61FD9">
        <w:t xml:space="preserve">, an FR2 MPAC system with 8 active probes does not seem to offer significant advantages over a system with </w:t>
      </w:r>
      <w:r w:rsidR="00D343D9">
        <w:t xml:space="preserve">6 probes. It is therefore proposed to </w:t>
      </w:r>
      <w:r w:rsidR="00E26971">
        <w:t>limit</w:t>
      </w:r>
      <w:r w:rsidR="00D343D9">
        <w:t xml:space="preserve"> the maximum number of probes for the NR FR2 MIMO OTA </w:t>
      </w:r>
      <w:r w:rsidR="00764750">
        <w:t xml:space="preserve">MPAC </w:t>
      </w:r>
      <w:r w:rsidR="00D343D9">
        <w:t>system</w:t>
      </w:r>
      <w:r w:rsidR="00E26971">
        <w:t xml:space="preserve"> to 6.</w:t>
      </w:r>
    </w:p>
    <w:p w14:paraId="3A4DD972" w14:textId="4F9E4617" w:rsidR="00E30AD4" w:rsidRPr="00E30AD4" w:rsidRDefault="00E30AD4" w:rsidP="00E03F11">
      <w:proofErr w:type="gramStart"/>
      <w:r>
        <w:t>In order to</w:t>
      </w:r>
      <w:proofErr w:type="gramEnd"/>
      <w:r>
        <w:t xml:space="preserve"> progress</w:t>
      </w:r>
      <w:r w:rsidRPr="00E30AD4">
        <w:t xml:space="preserve">, </w:t>
      </w:r>
      <w:r>
        <w:t>a</w:t>
      </w:r>
      <w:r w:rsidRPr="00E30AD4">
        <w:t>n acceptable PSP limit needs to be agreed to determine the min. range length for the NR FR2 MPAC system, e.g., a 75% PSP limit requires a min range length of 1m.</w:t>
      </w:r>
    </w:p>
    <w:p w14:paraId="696C3DBB" w14:textId="63FEE896" w:rsidR="00E26971" w:rsidRPr="00CC2300" w:rsidRDefault="00CC2300" w:rsidP="00E03F11">
      <w:pPr>
        <w:rPr>
          <w:b/>
        </w:rPr>
      </w:pPr>
      <w:r w:rsidRPr="00CC2300">
        <w:rPr>
          <w:b/>
        </w:rPr>
        <w:t>Proposal:</w:t>
      </w:r>
      <w:r w:rsidR="000235BF" w:rsidRPr="00CC2300">
        <w:rPr>
          <w:b/>
        </w:rPr>
        <w:t xml:space="preserve"> </w:t>
      </w:r>
      <w:r w:rsidR="00AB6CD5" w:rsidRPr="00CC2300">
        <w:rPr>
          <w:b/>
        </w:rPr>
        <w:t>An acceptable PSP limit needs to be agreed</w:t>
      </w:r>
      <w:r w:rsidR="000235BF" w:rsidRPr="00CC2300">
        <w:rPr>
          <w:b/>
        </w:rPr>
        <w:t xml:space="preserve"> to determine the min. range length </w:t>
      </w:r>
      <w:r w:rsidR="00E75926">
        <w:rPr>
          <w:b/>
        </w:rPr>
        <w:t xml:space="preserve">and number of probes </w:t>
      </w:r>
      <w:r w:rsidR="000235BF" w:rsidRPr="00CC2300">
        <w:rPr>
          <w:b/>
        </w:rPr>
        <w:t>for the NR FR2 MPAC system</w:t>
      </w:r>
      <w:r w:rsidRPr="00CC2300">
        <w:rPr>
          <w:b/>
        </w:rPr>
        <w:t xml:space="preserve"> </w:t>
      </w:r>
    </w:p>
    <w:bookmarkEnd w:id="2"/>
    <w:p w14:paraId="18A1A078" w14:textId="77777777" w:rsidR="008B0529" w:rsidRDefault="0053435C" w:rsidP="0053435C">
      <w:pPr>
        <w:pStyle w:val="Heading1"/>
        <w:ind w:left="567" w:hanging="567"/>
      </w:pPr>
      <w:r>
        <w:t>Conclusion</w:t>
      </w:r>
    </w:p>
    <w:p w14:paraId="18A1A079" w14:textId="03B2DDC5" w:rsidR="008B0529" w:rsidRDefault="0053435C" w:rsidP="008B0529">
      <w:r>
        <w:t>The following observations and proposals were made in this contribution</w:t>
      </w:r>
      <w:r w:rsidR="00CC2300">
        <w:t>:</w:t>
      </w:r>
    </w:p>
    <w:p w14:paraId="396DF3CA" w14:textId="2F1CA7E4" w:rsidR="00CC2300" w:rsidRDefault="00CC2300" w:rsidP="00CC2300">
      <w:pPr>
        <w:pStyle w:val="Caption"/>
      </w:pPr>
      <w:r>
        <w:t xml:space="preserve">Observation </w:t>
      </w:r>
      <w:r>
        <w:fldChar w:fldCharType="begin"/>
      </w:r>
      <w:r>
        <w:instrText xml:space="preserve"> SEQ Observation \* ARABIC </w:instrText>
      </w:r>
      <w:r>
        <w:fldChar w:fldCharType="separate"/>
      </w:r>
      <w:r w:rsidR="00060644">
        <w:rPr>
          <w:noProof/>
        </w:rPr>
        <w:t>4</w:t>
      </w:r>
      <w:r>
        <w:fldChar w:fldCharType="end"/>
      </w:r>
      <w:r>
        <w:t>: In InO scenario, the improvement in PSP obtained by increasing number of probes (from 6 to 8) is not significant for CDL-A and CDL-C models.</w:t>
      </w:r>
    </w:p>
    <w:p w14:paraId="30352F49" w14:textId="7FEFC525" w:rsidR="00CC2300" w:rsidRDefault="00CC2300" w:rsidP="00CC2300">
      <w:pPr>
        <w:pStyle w:val="Caption"/>
      </w:pPr>
      <w:r>
        <w:t xml:space="preserve">Observation </w:t>
      </w:r>
      <w:r>
        <w:fldChar w:fldCharType="begin"/>
      </w:r>
      <w:r>
        <w:instrText xml:space="preserve"> SEQ Observation \* ARABIC </w:instrText>
      </w:r>
      <w:r>
        <w:fldChar w:fldCharType="separate"/>
      </w:r>
      <w:r w:rsidR="00060644">
        <w:rPr>
          <w:noProof/>
        </w:rPr>
        <w:t>5</w:t>
      </w:r>
      <w:r>
        <w:fldChar w:fldCharType="end"/>
      </w:r>
      <w:r>
        <w:t xml:space="preserve">: In UMi scenario, the improvement in PSP obtained by increasing number of probes (from 6 to 8) is not significant for CDL-A. However, for the CDL-C model the PSP is improved noticeably with 8 probes when compared to 6 probes. </w:t>
      </w:r>
    </w:p>
    <w:p w14:paraId="09BBFCC9" w14:textId="7ED67AA5" w:rsidR="00CC2300" w:rsidRDefault="00CC2300" w:rsidP="00CC2300">
      <w:pPr>
        <w:pStyle w:val="Caption"/>
      </w:pPr>
      <w:r>
        <w:t xml:space="preserve">Observation </w:t>
      </w:r>
      <w:r>
        <w:fldChar w:fldCharType="begin"/>
      </w:r>
      <w:r>
        <w:instrText xml:space="preserve"> SEQ Observation \* ARABIC </w:instrText>
      </w:r>
      <w:r>
        <w:fldChar w:fldCharType="separate"/>
      </w:r>
      <w:r w:rsidR="00060644">
        <w:rPr>
          <w:noProof/>
        </w:rPr>
        <w:t>6</w:t>
      </w:r>
      <w:r>
        <w:fldChar w:fldCharType="end"/>
      </w:r>
      <w:r>
        <w:t xml:space="preserve">: The difference in PSP between 28GHz and 40GHz for the studied channel models, scenarios, range lengths, and DUT antenna offsets is insignificant. </w:t>
      </w:r>
    </w:p>
    <w:p w14:paraId="7B93B785" w14:textId="77777777" w:rsidR="00EC5EF0" w:rsidRPr="00CC2300" w:rsidRDefault="00EC5EF0" w:rsidP="00EC5EF0">
      <w:pPr>
        <w:rPr>
          <w:b/>
        </w:rPr>
      </w:pPr>
      <w:r w:rsidRPr="00CC2300">
        <w:rPr>
          <w:b/>
        </w:rPr>
        <w:t xml:space="preserve">Proposal: An acceptable PSP limit needs to be agreed to determine the min. range length </w:t>
      </w:r>
      <w:r>
        <w:rPr>
          <w:b/>
        </w:rPr>
        <w:t xml:space="preserve">and number of probes </w:t>
      </w:r>
      <w:r w:rsidRPr="00CC2300">
        <w:rPr>
          <w:b/>
        </w:rPr>
        <w:t xml:space="preserve">for the NR FR2 MPAC system </w:t>
      </w:r>
    </w:p>
    <w:p w14:paraId="18A1A07A" w14:textId="77777777" w:rsidR="00DD1C07" w:rsidRDefault="00DD1C07" w:rsidP="00DD1C07">
      <w:pPr>
        <w:pStyle w:val="Heading1"/>
        <w:ind w:left="567" w:hanging="567"/>
      </w:pPr>
      <w:r>
        <w:lastRenderedPageBreak/>
        <w:t>References</w:t>
      </w:r>
    </w:p>
    <w:p w14:paraId="18A1A07B" w14:textId="72C2D8C6" w:rsidR="000547AB" w:rsidRDefault="004C2177" w:rsidP="00236683">
      <w:pPr>
        <w:numPr>
          <w:ilvl w:val="0"/>
          <w:numId w:val="5"/>
        </w:numPr>
        <w:tabs>
          <w:tab w:val="left" w:pos="426"/>
        </w:tabs>
        <w:overflowPunct w:val="0"/>
        <w:autoSpaceDE w:val="0"/>
        <w:autoSpaceDN w:val="0"/>
        <w:adjustRightInd w:val="0"/>
        <w:textAlignment w:val="baseline"/>
      </w:pPr>
      <w:bookmarkStart w:id="6" w:name="_Ref16678963"/>
      <w:r>
        <w:t>R4-</w:t>
      </w:r>
      <w:r w:rsidRPr="00BA2F76">
        <w:t>1814835 “On Feasibility of MPAC Systems for FR2”, Keysight Technologies, 3GPP TSG-RAN WG4 Meeting #89, November 2018</w:t>
      </w:r>
      <w:bookmarkEnd w:id="6"/>
    </w:p>
    <w:p w14:paraId="38031812" w14:textId="4CD9F658" w:rsidR="004C2177" w:rsidRDefault="004C2177" w:rsidP="00236683">
      <w:pPr>
        <w:numPr>
          <w:ilvl w:val="0"/>
          <w:numId w:val="5"/>
        </w:numPr>
        <w:tabs>
          <w:tab w:val="left" w:pos="426"/>
        </w:tabs>
        <w:overflowPunct w:val="0"/>
        <w:autoSpaceDE w:val="0"/>
        <w:autoSpaceDN w:val="0"/>
        <w:adjustRightInd w:val="0"/>
        <w:textAlignment w:val="baseline"/>
      </w:pPr>
      <w:bookmarkStart w:id="7" w:name="_Ref16679253"/>
      <w:r>
        <w:t>R4</w:t>
      </w:r>
      <w:r w:rsidRPr="00BA2F76">
        <w:t>-1703567</w:t>
      </w:r>
      <w:r>
        <w:t xml:space="preserve"> </w:t>
      </w:r>
      <w:r w:rsidRPr="00BA2F76">
        <w:t>“Considerations for UE demodulation test methodologies in NR (mmWave)”, Azimuth Systems, Anritsu, RAN4 #82bis, April 2017</w:t>
      </w:r>
      <w:bookmarkEnd w:id="7"/>
    </w:p>
    <w:p w14:paraId="60CC6B7A" w14:textId="732290C6" w:rsidR="00DA0EFD" w:rsidRDefault="00DA0EFD" w:rsidP="00236683">
      <w:pPr>
        <w:numPr>
          <w:ilvl w:val="0"/>
          <w:numId w:val="5"/>
        </w:numPr>
        <w:tabs>
          <w:tab w:val="left" w:pos="426"/>
        </w:tabs>
        <w:overflowPunct w:val="0"/>
        <w:autoSpaceDE w:val="0"/>
        <w:autoSpaceDN w:val="0"/>
        <w:adjustRightInd w:val="0"/>
        <w:textAlignment w:val="baseline"/>
      </w:pPr>
      <w:bookmarkStart w:id="8" w:name="_Ref16679668"/>
      <w:r>
        <w:t>R4</w:t>
      </w:r>
      <w:r w:rsidRPr="00BA2F76">
        <w:t>-1815933, “WF on NR MIMO OTA”, CAICT, Spirent, Keysight Technologies, Qualcomm, ETS-Lindgren, MVG, 3GPP TSG-RAN WG4 Meeting #89, Spokane, November 2018</w:t>
      </w:r>
      <w:bookmarkEnd w:id="8"/>
    </w:p>
    <w:p w14:paraId="1018E20F" w14:textId="06877AD8" w:rsidR="00DA0EFD" w:rsidRDefault="00DA0EFD" w:rsidP="00236683">
      <w:pPr>
        <w:numPr>
          <w:ilvl w:val="0"/>
          <w:numId w:val="5"/>
        </w:numPr>
        <w:tabs>
          <w:tab w:val="left" w:pos="426"/>
        </w:tabs>
        <w:overflowPunct w:val="0"/>
        <w:autoSpaceDE w:val="0"/>
        <w:autoSpaceDN w:val="0"/>
        <w:adjustRightInd w:val="0"/>
        <w:textAlignment w:val="baseline"/>
      </w:pPr>
      <w:bookmarkStart w:id="9" w:name="_Ref16679677"/>
      <w:r>
        <w:t>R4</w:t>
      </w:r>
      <w:r w:rsidRPr="00FA7733">
        <w:t>-1900499, “3D MPAC System Proposal for FR2 NR MIMO OTA Testing”, Keysight Technologies, 3GPP TSG-RAN WG4 Meeting #90, February 2019</w:t>
      </w:r>
      <w:bookmarkEnd w:id="9"/>
    </w:p>
    <w:p w14:paraId="16805ABB" w14:textId="4C4B22D0" w:rsidR="00BA3F9E" w:rsidRPr="00052390" w:rsidRDefault="00BA3F9E" w:rsidP="00236683">
      <w:pPr>
        <w:numPr>
          <w:ilvl w:val="0"/>
          <w:numId w:val="5"/>
        </w:numPr>
        <w:tabs>
          <w:tab w:val="left" w:pos="426"/>
        </w:tabs>
        <w:overflowPunct w:val="0"/>
        <w:autoSpaceDE w:val="0"/>
        <w:autoSpaceDN w:val="0"/>
        <w:adjustRightInd w:val="0"/>
        <w:textAlignment w:val="baseline"/>
      </w:pPr>
      <w:bookmarkStart w:id="10" w:name="_Ref16680929"/>
      <w:r>
        <w:t>R4</w:t>
      </w:r>
      <w:r w:rsidRPr="00FA7733">
        <w:t>-190</w:t>
      </w:r>
      <w:r>
        <w:t>6830</w:t>
      </w:r>
      <w:r w:rsidRPr="00FA7733">
        <w:t>, “</w:t>
      </w:r>
      <w:r>
        <w:rPr>
          <w:sz w:val="22"/>
        </w:rPr>
        <w:t>DUT test zone size evaluation for UMi and InO at FR 2</w:t>
      </w:r>
      <w:r w:rsidRPr="00FA7733">
        <w:t>”, Keysight Technologies, 3GPP TSG-RAN WG4 Meeting #9</w:t>
      </w:r>
      <w:r>
        <w:t>1</w:t>
      </w:r>
      <w:r w:rsidRPr="00FA7733">
        <w:t xml:space="preserve">, </w:t>
      </w:r>
      <w:r>
        <w:t>May</w:t>
      </w:r>
      <w:r w:rsidRPr="00FA7733">
        <w:t xml:space="preserve"> 2019</w:t>
      </w:r>
      <w:bookmarkEnd w:id="10"/>
    </w:p>
    <w:sectPr w:rsidR="00BA3F9E"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AE763" w14:textId="77777777" w:rsidR="004655D9" w:rsidRDefault="004655D9">
      <w:r>
        <w:separator/>
      </w:r>
    </w:p>
  </w:endnote>
  <w:endnote w:type="continuationSeparator" w:id="0">
    <w:p w14:paraId="32837A0C" w14:textId="77777777" w:rsidR="004655D9" w:rsidRDefault="004655D9">
      <w:r>
        <w:continuationSeparator/>
      </w:r>
    </w:p>
  </w:endnote>
  <w:endnote w:type="continuationNotice" w:id="1">
    <w:p w14:paraId="59B12CB8" w14:textId="77777777" w:rsidR="004655D9" w:rsidRDefault="00465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B9EB9" w14:textId="77777777" w:rsidR="004655D9" w:rsidRDefault="004655D9">
      <w:r>
        <w:separator/>
      </w:r>
    </w:p>
  </w:footnote>
  <w:footnote w:type="continuationSeparator" w:id="0">
    <w:p w14:paraId="6FB0E133" w14:textId="77777777" w:rsidR="004655D9" w:rsidRDefault="004655D9">
      <w:r>
        <w:continuationSeparator/>
      </w:r>
    </w:p>
  </w:footnote>
  <w:footnote w:type="continuationNotice" w:id="1">
    <w:p w14:paraId="252FA073" w14:textId="77777777" w:rsidR="004655D9" w:rsidRDefault="004655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6C29"/>
    <w:rsid w:val="000078E2"/>
    <w:rsid w:val="00011F6E"/>
    <w:rsid w:val="000136CE"/>
    <w:rsid w:val="00013893"/>
    <w:rsid w:val="00015E33"/>
    <w:rsid w:val="00017A04"/>
    <w:rsid w:val="00017C05"/>
    <w:rsid w:val="000200FB"/>
    <w:rsid w:val="0002191D"/>
    <w:rsid w:val="00021A86"/>
    <w:rsid w:val="000235BF"/>
    <w:rsid w:val="000262D5"/>
    <w:rsid w:val="000266A0"/>
    <w:rsid w:val="00026A7D"/>
    <w:rsid w:val="00030D4D"/>
    <w:rsid w:val="00031C1D"/>
    <w:rsid w:val="00032F36"/>
    <w:rsid w:val="00036AF0"/>
    <w:rsid w:val="000379D6"/>
    <w:rsid w:val="000439E6"/>
    <w:rsid w:val="0004477C"/>
    <w:rsid w:val="0004678D"/>
    <w:rsid w:val="00052390"/>
    <w:rsid w:val="000547AB"/>
    <w:rsid w:val="0005509D"/>
    <w:rsid w:val="00055873"/>
    <w:rsid w:val="00056560"/>
    <w:rsid w:val="0005725C"/>
    <w:rsid w:val="00057598"/>
    <w:rsid w:val="00057CD8"/>
    <w:rsid w:val="00060644"/>
    <w:rsid w:val="000606FD"/>
    <w:rsid w:val="00064500"/>
    <w:rsid w:val="00064DD5"/>
    <w:rsid w:val="00077333"/>
    <w:rsid w:val="000822DE"/>
    <w:rsid w:val="00082566"/>
    <w:rsid w:val="000834AF"/>
    <w:rsid w:val="00083540"/>
    <w:rsid w:val="00084983"/>
    <w:rsid w:val="00087F53"/>
    <w:rsid w:val="00093E7E"/>
    <w:rsid w:val="00096EE4"/>
    <w:rsid w:val="000A12C7"/>
    <w:rsid w:val="000A2A86"/>
    <w:rsid w:val="000A43B4"/>
    <w:rsid w:val="000A6B25"/>
    <w:rsid w:val="000B25D3"/>
    <w:rsid w:val="000C2440"/>
    <w:rsid w:val="000C3463"/>
    <w:rsid w:val="000C640F"/>
    <w:rsid w:val="000D39C6"/>
    <w:rsid w:val="000D6B69"/>
    <w:rsid w:val="000D6CFC"/>
    <w:rsid w:val="000E24A4"/>
    <w:rsid w:val="000E4BA6"/>
    <w:rsid w:val="000F73B3"/>
    <w:rsid w:val="00114DB9"/>
    <w:rsid w:val="001174D8"/>
    <w:rsid w:val="00121323"/>
    <w:rsid w:val="00122845"/>
    <w:rsid w:val="00124141"/>
    <w:rsid w:val="001251E3"/>
    <w:rsid w:val="001258E2"/>
    <w:rsid w:val="001266B1"/>
    <w:rsid w:val="0013001E"/>
    <w:rsid w:val="00130A4D"/>
    <w:rsid w:val="00135E0A"/>
    <w:rsid w:val="0014005E"/>
    <w:rsid w:val="00140084"/>
    <w:rsid w:val="0014206F"/>
    <w:rsid w:val="001423A1"/>
    <w:rsid w:val="00142BCA"/>
    <w:rsid w:val="001430FC"/>
    <w:rsid w:val="001458A3"/>
    <w:rsid w:val="00150099"/>
    <w:rsid w:val="00152172"/>
    <w:rsid w:val="00153528"/>
    <w:rsid w:val="00157AD8"/>
    <w:rsid w:val="00166A36"/>
    <w:rsid w:val="001741AE"/>
    <w:rsid w:val="001758FB"/>
    <w:rsid w:val="0018061D"/>
    <w:rsid w:val="00196F9F"/>
    <w:rsid w:val="001A08AA"/>
    <w:rsid w:val="001A17A5"/>
    <w:rsid w:val="001A2BC5"/>
    <w:rsid w:val="001A2EF9"/>
    <w:rsid w:val="001A3120"/>
    <w:rsid w:val="001A3BFA"/>
    <w:rsid w:val="001A6E63"/>
    <w:rsid w:val="001B2108"/>
    <w:rsid w:val="001B231F"/>
    <w:rsid w:val="001B6A72"/>
    <w:rsid w:val="001C00AA"/>
    <w:rsid w:val="001C0CFD"/>
    <w:rsid w:val="001C3A35"/>
    <w:rsid w:val="001C3CCB"/>
    <w:rsid w:val="001C4A15"/>
    <w:rsid w:val="001C687E"/>
    <w:rsid w:val="001D69EA"/>
    <w:rsid w:val="001D7D91"/>
    <w:rsid w:val="001D7F4A"/>
    <w:rsid w:val="001E1CF6"/>
    <w:rsid w:val="001E4636"/>
    <w:rsid w:val="001E6DC6"/>
    <w:rsid w:val="001F5795"/>
    <w:rsid w:val="001F706B"/>
    <w:rsid w:val="002001BD"/>
    <w:rsid w:val="00200996"/>
    <w:rsid w:val="0020314E"/>
    <w:rsid w:val="00204999"/>
    <w:rsid w:val="00206FE6"/>
    <w:rsid w:val="0020713B"/>
    <w:rsid w:val="0020758D"/>
    <w:rsid w:val="00207AD7"/>
    <w:rsid w:val="00210D55"/>
    <w:rsid w:val="0021155C"/>
    <w:rsid w:val="00212373"/>
    <w:rsid w:val="00213770"/>
    <w:rsid w:val="002138EA"/>
    <w:rsid w:val="00214FBD"/>
    <w:rsid w:val="00222897"/>
    <w:rsid w:val="0022419C"/>
    <w:rsid w:val="00226E85"/>
    <w:rsid w:val="00232F0E"/>
    <w:rsid w:val="00234D1C"/>
    <w:rsid w:val="00235394"/>
    <w:rsid w:val="00235813"/>
    <w:rsid w:val="00236683"/>
    <w:rsid w:val="0023752C"/>
    <w:rsid w:val="00241A14"/>
    <w:rsid w:val="0025114C"/>
    <w:rsid w:val="00251340"/>
    <w:rsid w:val="00252AEA"/>
    <w:rsid w:val="00254246"/>
    <w:rsid w:val="00255905"/>
    <w:rsid w:val="002610D3"/>
    <w:rsid w:val="0026179F"/>
    <w:rsid w:val="00262600"/>
    <w:rsid w:val="00262A89"/>
    <w:rsid w:val="0026391C"/>
    <w:rsid w:val="00266C6B"/>
    <w:rsid w:val="0026709E"/>
    <w:rsid w:val="00267CC7"/>
    <w:rsid w:val="002741DA"/>
    <w:rsid w:val="002748A2"/>
    <w:rsid w:val="00274984"/>
    <w:rsid w:val="00274E1A"/>
    <w:rsid w:val="0027758E"/>
    <w:rsid w:val="00277A09"/>
    <w:rsid w:val="00280BA5"/>
    <w:rsid w:val="00282213"/>
    <w:rsid w:val="00285098"/>
    <w:rsid w:val="00287895"/>
    <w:rsid w:val="00287C09"/>
    <w:rsid w:val="0029076F"/>
    <w:rsid w:val="00292B84"/>
    <w:rsid w:val="00293011"/>
    <w:rsid w:val="00293732"/>
    <w:rsid w:val="00296B9F"/>
    <w:rsid w:val="0029708C"/>
    <w:rsid w:val="002A4112"/>
    <w:rsid w:val="002A67DE"/>
    <w:rsid w:val="002A7017"/>
    <w:rsid w:val="002A7F4B"/>
    <w:rsid w:val="002B11F7"/>
    <w:rsid w:val="002B3F06"/>
    <w:rsid w:val="002B4D62"/>
    <w:rsid w:val="002C1E1B"/>
    <w:rsid w:val="002C2040"/>
    <w:rsid w:val="002C7D13"/>
    <w:rsid w:val="002D0D61"/>
    <w:rsid w:val="002D42DB"/>
    <w:rsid w:val="002D44BD"/>
    <w:rsid w:val="002D69EF"/>
    <w:rsid w:val="002E465A"/>
    <w:rsid w:val="002E47F7"/>
    <w:rsid w:val="002E5F31"/>
    <w:rsid w:val="002F10B6"/>
    <w:rsid w:val="002F4093"/>
    <w:rsid w:val="002F56D0"/>
    <w:rsid w:val="002F5FAD"/>
    <w:rsid w:val="00300544"/>
    <w:rsid w:val="003052AA"/>
    <w:rsid w:val="00306D8E"/>
    <w:rsid w:val="00307D2C"/>
    <w:rsid w:val="00313528"/>
    <w:rsid w:val="003209E5"/>
    <w:rsid w:val="00324F35"/>
    <w:rsid w:val="00324F47"/>
    <w:rsid w:val="00326CFF"/>
    <w:rsid w:val="00331E19"/>
    <w:rsid w:val="00332820"/>
    <w:rsid w:val="003340C5"/>
    <w:rsid w:val="0033593B"/>
    <w:rsid w:val="00342494"/>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297A"/>
    <w:rsid w:val="003B1087"/>
    <w:rsid w:val="003B1AA0"/>
    <w:rsid w:val="003B478A"/>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53E"/>
    <w:rsid w:val="0041277E"/>
    <w:rsid w:val="00413C3E"/>
    <w:rsid w:val="00413C6C"/>
    <w:rsid w:val="0041477A"/>
    <w:rsid w:val="00416674"/>
    <w:rsid w:val="00417068"/>
    <w:rsid w:val="0042010F"/>
    <w:rsid w:val="004204BB"/>
    <w:rsid w:val="00420AD5"/>
    <w:rsid w:val="00424ED3"/>
    <w:rsid w:val="00426356"/>
    <w:rsid w:val="00427B4E"/>
    <w:rsid w:val="00431287"/>
    <w:rsid w:val="004420B4"/>
    <w:rsid w:val="00442ABB"/>
    <w:rsid w:val="00444225"/>
    <w:rsid w:val="004479DD"/>
    <w:rsid w:val="00456C09"/>
    <w:rsid w:val="0046266D"/>
    <w:rsid w:val="004641A8"/>
    <w:rsid w:val="004655D9"/>
    <w:rsid w:val="00466E59"/>
    <w:rsid w:val="004701D2"/>
    <w:rsid w:val="00470E49"/>
    <w:rsid w:val="00471B36"/>
    <w:rsid w:val="00473D9D"/>
    <w:rsid w:val="00474556"/>
    <w:rsid w:val="00474FBC"/>
    <w:rsid w:val="00476D28"/>
    <w:rsid w:val="0048180E"/>
    <w:rsid w:val="004824CE"/>
    <w:rsid w:val="00482CB3"/>
    <w:rsid w:val="004831B2"/>
    <w:rsid w:val="004835B4"/>
    <w:rsid w:val="00484D33"/>
    <w:rsid w:val="00485FCA"/>
    <w:rsid w:val="00490280"/>
    <w:rsid w:val="00490F98"/>
    <w:rsid w:val="00490FAF"/>
    <w:rsid w:val="0049192E"/>
    <w:rsid w:val="00491FA6"/>
    <w:rsid w:val="00495A33"/>
    <w:rsid w:val="004A07A1"/>
    <w:rsid w:val="004A17C7"/>
    <w:rsid w:val="004A419F"/>
    <w:rsid w:val="004A6B36"/>
    <w:rsid w:val="004B27EC"/>
    <w:rsid w:val="004B4E77"/>
    <w:rsid w:val="004B78A8"/>
    <w:rsid w:val="004C2177"/>
    <w:rsid w:val="004C2A16"/>
    <w:rsid w:val="004D0FD5"/>
    <w:rsid w:val="004D0FF2"/>
    <w:rsid w:val="004D2419"/>
    <w:rsid w:val="004D33F8"/>
    <w:rsid w:val="004D36B9"/>
    <w:rsid w:val="004D5AE5"/>
    <w:rsid w:val="004E2B50"/>
    <w:rsid w:val="004F08C5"/>
    <w:rsid w:val="004F374D"/>
    <w:rsid w:val="004F3D34"/>
    <w:rsid w:val="004F3E0E"/>
    <w:rsid w:val="004F3EB5"/>
    <w:rsid w:val="004F554E"/>
    <w:rsid w:val="004F7A3D"/>
    <w:rsid w:val="004F7C82"/>
    <w:rsid w:val="00501CEE"/>
    <w:rsid w:val="00504627"/>
    <w:rsid w:val="00505BFA"/>
    <w:rsid w:val="005069C0"/>
    <w:rsid w:val="00506E43"/>
    <w:rsid w:val="00511254"/>
    <w:rsid w:val="00511A4D"/>
    <w:rsid w:val="00512458"/>
    <w:rsid w:val="00513632"/>
    <w:rsid w:val="00517B81"/>
    <w:rsid w:val="00520CFC"/>
    <w:rsid w:val="00522C5E"/>
    <w:rsid w:val="005239FE"/>
    <w:rsid w:val="00526FA7"/>
    <w:rsid w:val="0053435C"/>
    <w:rsid w:val="00537354"/>
    <w:rsid w:val="00541EB9"/>
    <w:rsid w:val="00542908"/>
    <w:rsid w:val="00543311"/>
    <w:rsid w:val="00546367"/>
    <w:rsid w:val="005471FE"/>
    <w:rsid w:val="00547986"/>
    <w:rsid w:val="00550E65"/>
    <w:rsid w:val="00554A16"/>
    <w:rsid w:val="005550DD"/>
    <w:rsid w:val="005603F5"/>
    <w:rsid w:val="005649A1"/>
    <w:rsid w:val="00565046"/>
    <w:rsid w:val="00566838"/>
    <w:rsid w:val="0056721A"/>
    <w:rsid w:val="00567AFA"/>
    <w:rsid w:val="00580542"/>
    <w:rsid w:val="00580587"/>
    <w:rsid w:val="00581E88"/>
    <w:rsid w:val="0058392F"/>
    <w:rsid w:val="00585B23"/>
    <w:rsid w:val="005908D2"/>
    <w:rsid w:val="00592F28"/>
    <w:rsid w:val="00593B56"/>
    <w:rsid w:val="00593F50"/>
    <w:rsid w:val="005943B2"/>
    <w:rsid w:val="00595618"/>
    <w:rsid w:val="005A0EDD"/>
    <w:rsid w:val="005A616F"/>
    <w:rsid w:val="005A6F48"/>
    <w:rsid w:val="005C239F"/>
    <w:rsid w:val="005C331B"/>
    <w:rsid w:val="005C4593"/>
    <w:rsid w:val="005D41B6"/>
    <w:rsid w:val="005E12CD"/>
    <w:rsid w:val="005E2985"/>
    <w:rsid w:val="005E5D66"/>
    <w:rsid w:val="005F3B1B"/>
    <w:rsid w:val="00605410"/>
    <w:rsid w:val="00607D07"/>
    <w:rsid w:val="00607D98"/>
    <w:rsid w:val="0061059A"/>
    <w:rsid w:val="006126CA"/>
    <w:rsid w:val="006131BB"/>
    <w:rsid w:val="00613B1E"/>
    <w:rsid w:val="00616FB0"/>
    <w:rsid w:val="006210C4"/>
    <w:rsid w:val="00622B32"/>
    <w:rsid w:val="006259C5"/>
    <w:rsid w:val="006323F5"/>
    <w:rsid w:val="00634928"/>
    <w:rsid w:val="00635671"/>
    <w:rsid w:val="00636ABD"/>
    <w:rsid w:val="00645857"/>
    <w:rsid w:val="00651C2B"/>
    <w:rsid w:val="006537BF"/>
    <w:rsid w:val="00653DF0"/>
    <w:rsid w:val="006543EF"/>
    <w:rsid w:val="0065492A"/>
    <w:rsid w:val="00654D11"/>
    <w:rsid w:val="00655751"/>
    <w:rsid w:val="00656A7B"/>
    <w:rsid w:val="00665AD3"/>
    <w:rsid w:val="00672542"/>
    <w:rsid w:val="00683EDA"/>
    <w:rsid w:val="006856E5"/>
    <w:rsid w:val="006937D0"/>
    <w:rsid w:val="00693874"/>
    <w:rsid w:val="00695755"/>
    <w:rsid w:val="00696BE5"/>
    <w:rsid w:val="00696D0A"/>
    <w:rsid w:val="006974B7"/>
    <w:rsid w:val="006A03F3"/>
    <w:rsid w:val="006A18E4"/>
    <w:rsid w:val="006A497E"/>
    <w:rsid w:val="006A5A2A"/>
    <w:rsid w:val="006A5ED0"/>
    <w:rsid w:val="006A6BE0"/>
    <w:rsid w:val="006B03F1"/>
    <w:rsid w:val="006B0D02"/>
    <w:rsid w:val="006B1C2F"/>
    <w:rsid w:val="006B363D"/>
    <w:rsid w:val="006B39EF"/>
    <w:rsid w:val="006B41E4"/>
    <w:rsid w:val="006C15D7"/>
    <w:rsid w:val="006C3A94"/>
    <w:rsid w:val="006C561E"/>
    <w:rsid w:val="006C6AD4"/>
    <w:rsid w:val="006D132D"/>
    <w:rsid w:val="006D39EE"/>
    <w:rsid w:val="006D6B1F"/>
    <w:rsid w:val="006E126D"/>
    <w:rsid w:val="006E1A51"/>
    <w:rsid w:val="006E45D9"/>
    <w:rsid w:val="006E4D85"/>
    <w:rsid w:val="006F0D5F"/>
    <w:rsid w:val="006F1DCF"/>
    <w:rsid w:val="006F4830"/>
    <w:rsid w:val="006F4A1A"/>
    <w:rsid w:val="006F5431"/>
    <w:rsid w:val="006F5C22"/>
    <w:rsid w:val="00700488"/>
    <w:rsid w:val="00703F5D"/>
    <w:rsid w:val="00705FAB"/>
    <w:rsid w:val="00705FF6"/>
    <w:rsid w:val="0070646B"/>
    <w:rsid w:val="007066FA"/>
    <w:rsid w:val="00707941"/>
    <w:rsid w:val="00707CE7"/>
    <w:rsid w:val="00710EEB"/>
    <w:rsid w:val="00711FC6"/>
    <w:rsid w:val="0071466D"/>
    <w:rsid w:val="00714DD6"/>
    <w:rsid w:val="007162EF"/>
    <w:rsid w:val="00720148"/>
    <w:rsid w:val="00720AC9"/>
    <w:rsid w:val="007250C2"/>
    <w:rsid w:val="007255E2"/>
    <w:rsid w:val="0072573C"/>
    <w:rsid w:val="0072666A"/>
    <w:rsid w:val="00726FD4"/>
    <w:rsid w:val="0072702D"/>
    <w:rsid w:val="00727352"/>
    <w:rsid w:val="00727593"/>
    <w:rsid w:val="00727A8D"/>
    <w:rsid w:val="00730547"/>
    <w:rsid w:val="00735C81"/>
    <w:rsid w:val="00736A17"/>
    <w:rsid w:val="007373B0"/>
    <w:rsid w:val="007403F2"/>
    <w:rsid w:val="00741775"/>
    <w:rsid w:val="00744CC1"/>
    <w:rsid w:val="0074650E"/>
    <w:rsid w:val="00747AD4"/>
    <w:rsid w:val="00751A0A"/>
    <w:rsid w:val="00752FA3"/>
    <w:rsid w:val="0075666F"/>
    <w:rsid w:val="00756FBA"/>
    <w:rsid w:val="00764439"/>
    <w:rsid w:val="00764750"/>
    <w:rsid w:val="00770A12"/>
    <w:rsid w:val="00774B17"/>
    <w:rsid w:val="007756A1"/>
    <w:rsid w:val="0078088D"/>
    <w:rsid w:val="00785759"/>
    <w:rsid w:val="00785D03"/>
    <w:rsid w:val="007927CF"/>
    <w:rsid w:val="00793E86"/>
    <w:rsid w:val="00797994"/>
    <w:rsid w:val="007A2502"/>
    <w:rsid w:val="007A4551"/>
    <w:rsid w:val="007A4F68"/>
    <w:rsid w:val="007A5139"/>
    <w:rsid w:val="007A5243"/>
    <w:rsid w:val="007A6059"/>
    <w:rsid w:val="007B03C6"/>
    <w:rsid w:val="007B0584"/>
    <w:rsid w:val="007B5856"/>
    <w:rsid w:val="007B6FFB"/>
    <w:rsid w:val="007C1F9D"/>
    <w:rsid w:val="007C2FD8"/>
    <w:rsid w:val="007C5650"/>
    <w:rsid w:val="007C6C39"/>
    <w:rsid w:val="007C6DD8"/>
    <w:rsid w:val="007D0054"/>
    <w:rsid w:val="007D258B"/>
    <w:rsid w:val="007D36D3"/>
    <w:rsid w:val="007D3BE3"/>
    <w:rsid w:val="007D575C"/>
    <w:rsid w:val="007D6048"/>
    <w:rsid w:val="007D73BB"/>
    <w:rsid w:val="007E04AC"/>
    <w:rsid w:val="007E2E0D"/>
    <w:rsid w:val="007E7938"/>
    <w:rsid w:val="007F0E1E"/>
    <w:rsid w:val="007F0E21"/>
    <w:rsid w:val="007F1535"/>
    <w:rsid w:val="007F39D0"/>
    <w:rsid w:val="007F4B80"/>
    <w:rsid w:val="007F4CAF"/>
    <w:rsid w:val="007F4CCC"/>
    <w:rsid w:val="007F5636"/>
    <w:rsid w:val="007F59A9"/>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50F8"/>
    <w:rsid w:val="00845E55"/>
    <w:rsid w:val="00846391"/>
    <w:rsid w:val="008541B3"/>
    <w:rsid w:val="008602F7"/>
    <w:rsid w:val="008610FE"/>
    <w:rsid w:val="00861C5F"/>
    <w:rsid w:val="008626D8"/>
    <w:rsid w:val="00863CC4"/>
    <w:rsid w:val="008640D5"/>
    <w:rsid w:val="00864950"/>
    <w:rsid w:val="00870861"/>
    <w:rsid w:val="00884BE6"/>
    <w:rsid w:val="0088503C"/>
    <w:rsid w:val="00885D92"/>
    <w:rsid w:val="00892723"/>
    <w:rsid w:val="00892C17"/>
    <w:rsid w:val="00893454"/>
    <w:rsid w:val="008934DC"/>
    <w:rsid w:val="0089569B"/>
    <w:rsid w:val="00895D05"/>
    <w:rsid w:val="00896DB9"/>
    <w:rsid w:val="0089723D"/>
    <w:rsid w:val="00897A25"/>
    <w:rsid w:val="008A0A78"/>
    <w:rsid w:val="008A0FAE"/>
    <w:rsid w:val="008A14E8"/>
    <w:rsid w:val="008A1A84"/>
    <w:rsid w:val="008A6143"/>
    <w:rsid w:val="008B0529"/>
    <w:rsid w:val="008B3A31"/>
    <w:rsid w:val="008B5C74"/>
    <w:rsid w:val="008C1254"/>
    <w:rsid w:val="008C2308"/>
    <w:rsid w:val="008C60E9"/>
    <w:rsid w:val="008C6A09"/>
    <w:rsid w:val="008C7836"/>
    <w:rsid w:val="008D7BED"/>
    <w:rsid w:val="008E4413"/>
    <w:rsid w:val="008E4684"/>
    <w:rsid w:val="008E4F84"/>
    <w:rsid w:val="008E6753"/>
    <w:rsid w:val="008F08D9"/>
    <w:rsid w:val="008F1346"/>
    <w:rsid w:val="008F540C"/>
    <w:rsid w:val="008F7D93"/>
    <w:rsid w:val="00903A81"/>
    <w:rsid w:val="00904A20"/>
    <w:rsid w:val="0090512F"/>
    <w:rsid w:val="0090524D"/>
    <w:rsid w:val="009064E9"/>
    <w:rsid w:val="00906985"/>
    <w:rsid w:val="009076E4"/>
    <w:rsid w:val="00911B1A"/>
    <w:rsid w:val="009133EA"/>
    <w:rsid w:val="00914B53"/>
    <w:rsid w:val="00916F35"/>
    <w:rsid w:val="0091715D"/>
    <w:rsid w:val="0091736B"/>
    <w:rsid w:val="00925B2A"/>
    <w:rsid w:val="00931702"/>
    <w:rsid w:val="00931918"/>
    <w:rsid w:val="00932F29"/>
    <w:rsid w:val="00933281"/>
    <w:rsid w:val="00937FBD"/>
    <w:rsid w:val="00945858"/>
    <w:rsid w:val="009467CE"/>
    <w:rsid w:val="009514EA"/>
    <w:rsid w:val="00951CC5"/>
    <w:rsid w:val="00952F41"/>
    <w:rsid w:val="0095378B"/>
    <w:rsid w:val="0095392E"/>
    <w:rsid w:val="00957EF1"/>
    <w:rsid w:val="00964105"/>
    <w:rsid w:val="00964A50"/>
    <w:rsid w:val="00965EF4"/>
    <w:rsid w:val="00970A06"/>
    <w:rsid w:val="0097133C"/>
    <w:rsid w:val="00972528"/>
    <w:rsid w:val="0097539D"/>
    <w:rsid w:val="009767AC"/>
    <w:rsid w:val="00980E79"/>
    <w:rsid w:val="00982B7E"/>
    <w:rsid w:val="00983910"/>
    <w:rsid w:val="009843D1"/>
    <w:rsid w:val="00984E5F"/>
    <w:rsid w:val="00985FF3"/>
    <w:rsid w:val="009913F6"/>
    <w:rsid w:val="00992B5F"/>
    <w:rsid w:val="00997D88"/>
    <w:rsid w:val="009C0727"/>
    <w:rsid w:val="009C2A57"/>
    <w:rsid w:val="009C398B"/>
    <w:rsid w:val="009C6214"/>
    <w:rsid w:val="009D28E0"/>
    <w:rsid w:val="009D44FF"/>
    <w:rsid w:val="009D78C2"/>
    <w:rsid w:val="009D7F67"/>
    <w:rsid w:val="009E186C"/>
    <w:rsid w:val="009E3840"/>
    <w:rsid w:val="009E414C"/>
    <w:rsid w:val="009E41C5"/>
    <w:rsid w:val="009E448E"/>
    <w:rsid w:val="009E520A"/>
    <w:rsid w:val="009E7AFD"/>
    <w:rsid w:val="009F1EE4"/>
    <w:rsid w:val="009F20D3"/>
    <w:rsid w:val="00A079A7"/>
    <w:rsid w:val="00A165D9"/>
    <w:rsid w:val="00A17336"/>
    <w:rsid w:val="00A17573"/>
    <w:rsid w:val="00A210B9"/>
    <w:rsid w:val="00A22FB6"/>
    <w:rsid w:val="00A2310D"/>
    <w:rsid w:val="00A25AEB"/>
    <w:rsid w:val="00A277B2"/>
    <w:rsid w:val="00A313BC"/>
    <w:rsid w:val="00A320FB"/>
    <w:rsid w:val="00A3540D"/>
    <w:rsid w:val="00A40BBD"/>
    <w:rsid w:val="00A446A0"/>
    <w:rsid w:val="00A4504D"/>
    <w:rsid w:val="00A452C2"/>
    <w:rsid w:val="00A45E4D"/>
    <w:rsid w:val="00A515A6"/>
    <w:rsid w:val="00A51F25"/>
    <w:rsid w:val="00A56613"/>
    <w:rsid w:val="00A571DB"/>
    <w:rsid w:val="00A57698"/>
    <w:rsid w:val="00A60D06"/>
    <w:rsid w:val="00A61E17"/>
    <w:rsid w:val="00A65439"/>
    <w:rsid w:val="00A67306"/>
    <w:rsid w:val="00A67ACD"/>
    <w:rsid w:val="00A71503"/>
    <w:rsid w:val="00A7213C"/>
    <w:rsid w:val="00A72864"/>
    <w:rsid w:val="00A7302E"/>
    <w:rsid w:val="00A74427"/>
    <w:rsid w:val="00A74CFE"/>
    <w:rsid w:val="00A77EC9"/>
    <w:rsid w:val="00A8094A"/>
    <w:rsid w:val="00A80BEF"/>
    <w:rsid w:val="00A81B15"/>
    <w:rsid w:val="00A82056"/>
    <w:rsid w:val="00A85286"/>
    <w:rsid w:val="00A85DBC"/>
    <w:rsid w:val="00A91132"/>
    <w:rsid w:val="00A95A5D"/>
    <w:rsid w:val="00A97CB6"/>
    <w:rsid w:val="00A97D56"/>
    <w:rsid w:val="00AA28BF"/>
    <w:rsid w:val="00AA3D6A"/>
    <w:rsid w:val="00AA42AF"/>
    <w:rsid w:val="00AA52FC"/>
    <w:rsid w:val="00AA69E4"/>
    <w:rsid w:val="00AA7233"/>
    <w:rsid w:val="00AB0C5E"/>
    <w:rsid w:val="00AB25ED"/>
    <w:rsid w:val="00AB32B3"/>
    <w:rsid w:val="00AB3F85"/>
    <w:rsid w:val="00AB4AC5"/>
    <w:rsid w:val="00AB6CD5"/>
    <w:rsid w:val="00AC6E03"/>
    <w:rsid w:val="00AD17B1"/>
    <w:rsid w:val="00AD4B9B"/>
    <w:rsid w:val="00AD7603"/>
    <w:rsid w:val="00AD768A"/>
    <w:rsid w:val="00AE116C"/>
    <w:rsid w:val="00AE342A"/>
    <w:rsid w:val="00AE627B"/>
    <w:rsid w:val="00AE6EAF"/>
    <w:rsid w:val="00AF044C"/>
    <w:rsid w:val="00AF0581"/>
    <w:rsid w:val="00AF0F4C"/>
    <w:rsid w:val="00AF3407"/>
    <w:rsid w:val="00AF5AD3"/>
    <w:rsid w:val="00B0589A"/>
    <w:rsid w:val="00B07716"/>
    <w:rsid w:val="00B14BC8"/>
    <w:rsid w:val="00B20C57"/>
    <w:rsid w:val="00B21D87"/>
    <w:rsid w:val="00B22ADA"/>
    <w:rsid w:val="00B24E76"/>
    <w:rsid w:val="00B32352"/>
    <w:rsid w:val="00B334B9"/>
    <w:rsid w:val="00B36208"/>
    <w:rsid w:val="00B3769C"/>
    <w:rsid w:val="00B40D30"/>
    <w:rsid w:val="00B41384"/>
    <w:rsid w:val="00B426E8"/>
    <w:rsid w:val="00B42B91"/>
    <w:rsid w:val="00B478AC"/>
    <w:rsid w:val="00B55D9A"/>
    <w:rsid w:val="00B5661F"/>
    <w:rsid w:val="00B6099D"/>
    <w:rsid w:val="00B61954"/>
    <w:rsid w:val="00B61FD9"/>
    <w:rsid w:val="00B62514"/>
    <w:rsid w:val="00B65101"/>
    <w:rsid w:val="00B727B5"/>
    <w:rsid w:val="00B7370C"/>
    <w:rsid w:val="00B73955"/>
    <w:rsid w:val="00B7475C"/>
    <w:rsid w:val="00B75741"/>
    <w:rsid w:val="00B822A0"/>
    <w:rsid w:val="00B83C22"/>
    <w:rsid w:val="00B8446C"/>
    <w:rsid w:val="00B92920"/>
    <w:rsid w:val="00B93A4D"/>
    <w:rsid w:val="00B943D6"/>
    <w:rsid w:val="00B97AFE"/>
    <w:rsid w:val="00BA0D2D"/>
    <w:rsid w:val="00BA2153"/>
    <w:rsid w:val="00BA3F9E"/>
    <w:rsid w:val="00BA47FD"/>
    <w:rsid w:val="00BA5EFD"/>
    <w:rsid w:val="00BB20DB"/>
    <w:rsid w:val="00BB2B4D"/>
    <w:rsid w:val="00BB4346"/>
    <w:rsid w:val="00BB43B8"/>
    <w:rsid w:val="00BB47FA"/>
    <w:rsid w:val="00BB53AC"/>
    <w:rsid w:val="00BB61B7"/>
    <w:rsid w:val="00BB7338"/>
    <w:rsid w:val="00BC2D24"/>
    <w:rsid w:val="00BC4A36"/>
    <w:rsid w:val="00BC577A"/>
    <w:rsid w:val="00BD0905"/>
    <w:rsid w:val="00BD455F"/>
    <w:rsid w:val="00BD707B"/>
    <w:rsid w:val="00BE0187"/>
    <w:rsid w:val="00BE1212"/>
    <w:rsid w:val="00BE1A05"/>
    <w:rsid w:val="00BE3D23"/>
    <w:rsid w:val="00BE5CA5"/>
    <w:rsid w:val="00BE5CB9"/>
    <w:rsid w:val="00BF4ED3"/>
    <w:rsid w:val="00BF5875"/>
    <w:rsid w:val="00C01AD5"/>
    <w:rsid w:val="00C01D4A"/>
    <w:rsid w:val="00C03244"/>
    <w:rsid w:val="00C050BC"/>
    <w:rsid w:val="00C050CF"/>
    <w:rsid w:val="00C06487"/>
    <w:rsid w:val="00C065DE"/>
    <w:rsid w:val="00C1494B"/>
    <w:rsid w:val="00C14DE6"/>
    <w:rsid w:val="00C15AC6"/>
    <w:rsid w:val="00C16052"/>
    <w:rsid w:val="00C1643C"/>
    <w:rsid w:val="00C209B5"/>
    <w:rsid w:val="00C26EE8"/>
    <w:rsid w:val="00C313B8"/>
    <w:rsid w:val="00C31D69"/>
    <w:rsid w:val="00C36BE1"/>
    <w:rsid w:val="00C401B8"/>
    <w:rsid w:val="00C42F12"/>
    <w:rsid w:val="00C448D1"/>
    <w:rsid w:val="00C451D8"/>
    <w:rsid w:val="00C475DA"/>
    <w:rsid w:val="00C47DE9"/>
    <w:rsid w:val="00C56792"/>
    <w:rsid w:val="00C6278C"/>
    <w:rsid w:val="00C63AA2"/>
    <w:rsid w:val="00C65422"/>
    <w:rsid w:val="00C6599B"/>
    <w:rsid w:val="00C76F04"/>
    <w:rsid w:val="00C80474"/>
    <w:rsid w:val="00C804C3"/>
    <w:rsid w:val="00C807DB"/>
    <w:rsid w:val="00C81268"/>
    <w:rsid w:val="00C81A1C"/>
    <w:rsid w:val="00C83771"/>
    <w:rsid w:val="00C87851"/>
    <w:rsid w:val="00C93744"/>
    <w:rsid w:val="00C958F3"/>
    <w:rsid w:val="00CA2E04"/>
    <w:rsid w:val="00CA3A27"/>
    <w:rsid w:val="00CA517A"/>
    <w:rsid w:val="00CB0D58"/>
    <w:rsid w:val="00CB29E4"/>
    <w:rsid w:val="00CB54A8"/>
    <w:rsid w:val="00CB5BF2"/>
    <w:rsid w:val="00CC15A4"/>
    <w:rsid w:val="00CC2300"/>
    <w:rsid w:val="00CC28A9"/>
    <w:rsid w:val="00CC3D38"/>
    <w:rsid w:val="00CC6580"/>
    <w:rsid w:val="00CC6FE0"/>
    <w:rsid w:val="00CD4EAA"/>
    <w:rsid w:val="00CE0386"/>
    <w:rsid w:val="00CF0031"/>
    <w:rsid w:val="00CF0C99"/>
    <w:rsid w:val="00CF46D3"/>
    <w:rsid w:val="00CF61F2"/>
    <w:rsid w:val="00CF68B5"/>
    <w:rsid w:val="00D076FD"/>
    <w:rsid w:val="00D1118A"/>
    <w:rsid w:val="00D12CB8"/>
    <w:rsid w:val="00D16C27"/>
    <w:rsid w:val="00D16CE2"/>
    <w:rsid w:val="00D206F1"/>
    <w:rsid w:val="00D21245"/>
    <w:rsid w:val="00D21C9F"/>
    <w:rsid w:val="00D22BEB"/>
    <w:rsid w:val="00D26BF2"/>
    <w:rsid w:val="00D319B9"/>
    <w:rsid w:val="00D33C1E"/>
    <w:rsid w:val="00D343D9"/>
    <w:rsid w:val="00D37240"/>
    <w:rsid w:val="00D37444"/>
    <w:rsid w:val="00D37A5A"/>
    <w:rsid w:val="00D402C2"/>
    <w:rsid w:val="00D45EB6"/>
    <w:rsid w:val="00D520E4"/>
    <w:rsid w:val="00D54860"/>
    <w:rsid w:val="00D54AA0"/>
    <w:rsid w:val="00D54F08"/>
    <w:rsid w:val="00D55A94"/>
    <w:rsid w:val="00D55B87"/>
    <w:rsid w:val="00D55DDF"/>
    <w:rsid w:val="00D567FB"/>
    <w:rsid w:val="00D57DFA"/>
    <w:rsid w:val="00D6215E"/>
    <w:rsid w:val="00D70DBC"/>
    <w:rsid w:val="00D71993"/>
    <w:rsid w:val="00D7306B"/>
    <w:rsid w:val="00D73201"/>
    <w:rsid w:val="00D73647"/>
    <w:rsid w:val="00D753EC"/>
    <w:rsid w:val="00D76446"/>
    <w:rsid w:val="00D8307F"/>
    <w:rsid w:val="00D8465F"/>
    <w:rsid w:val="00D85B5D"/>
    <w:rsid w:val="00D87DA9"/>
    <w:rsid w:val="00D90F93"/>
    <w:rsid w:val="00D91F54"/>
    <w:rsid w:val="00D93835"/>
    <w:rsid w:val="00D93AE3"/>
    <w:rsid w:val="00D93E7C"/>
    <w:rsid w:val="00D9442D"/>
    <w:rsid w:val="00D94F8B"/>
    <w:rsid w:val="00D95235"/>
    <w:rsid w:val="00D9763F"/>
    <w:rsid w:val="00DA0EFD"/>
    <w:rsid w:val="00DA3F71"/>
    <w:rsid w:val="00DA66C3"/>
    <w:rsid w:val="00DB10A0"/>
    <w:rsid w:val="00DB328D"/>
    <w:rsid w:val="00DB5E7F"/>
    <w:rsid w:val="00DC176A"/>
    <w:rsid w:val="00DD0C2C"/>
    <w:rsid w:val="00DD0F6E"/>
    <w:rsid w:val="00DD1C07"/>
    <w:rsid w:val="00DD4BF9"/>
    <w:rsid w:val="00DE0E3E"/>
    <w:rsid w:val="00DE2633"/>
    <w:rsid w:val="00DE458A"/>
    <w:rsid w:val="00DF124F"/>
    <w:rsid w:val="00DF1AE6"/>
    <w:rsid w:val="00DF6B82"/>
    <w:rsid w:val="00E038CE"/>
    <w:rsid w:val="00E03F11"/>
    <w:rsid w:val="00E0463C"/>
    <w:rsid w:val="00E077C9"/>
    <w:rsid w:val="00E11626"/>
    <w:rsid w:val="00E11C02"/>
    <w:rsid w:val="00E20DFF"/>
    <w:rsid w:val="00E20E76"/>
    <w:rsid w:val="00E21128"/>
    <w:rsid w:val="00E21AB4"/>
    <w:rsid w:val="00E2212A"/>
    <w:rsid w:val="00E224FC"/>
    <w:rsid w:val="00E26971"/>
    <w:rsid w:val="00E30AD4"/>
    <w:rsid w:val="00E31F57"/>
    <w:rsid w:val="00E32C2E"/>
    <w:rsid w:val="00E32DAA"/>
    <w:rsid w:val="00E336C5"/>
    <w:rsid w:val="00E34794"/>
    <w:rsid w:val="00E41279"/>
    <w:rsid w:val="00E502C4"/>
    <w:rsid w:val="00E521D9"/>
    <w:rsid w:val="00E5356F"/>
    <w:rsid w:val="00E55ABC"/>
    <w:rsid w:val="00E56168"/>
    <w:rsid w:val="00E57B74"/>
    <w:rsid w:val="00E57FEF"/>
    <w:rsid w:val="00E642B3"/>
    <w:rsid w:val="00E75926"/>
    <w:rsid w:val="00E8629F"/>
    <w:rsid w:val="00E90B54"/>
    <w:rsid w:val="00E9121D"/>
    <w:rsid w:val="00E93A99"/>
    <w:rsid w:val="00E96BC6"/>
    <w:rsid w:val="00E97AA9"/>
    <w:rsid w:val="00EA09B1"/>
    <w:rsid w:val="00EA0B7F"/>
    <w:rsid w:val="00EA3C24"/>
    <w:rsid w:val="00EA3D76"/>
    <w:rsid w:val="00EA467F"/>
    <w:rsid w:val="00EB0292"/>
    <w:rsid w:val="00EC0715"/>
    <w:rsid w:val="00EC11C2"/>
    <w:rsid w:val="00EC2D84"/>
    <w:rsid w:val="00EC5EF0"/>
    <w:rsid w:val="00EC6A1C"/>
    <w:rsid w:val="00EC77F2"/>
    <w:rsid w:val="00ED506B"/>
    <w:rsid w:val="00ED5F47"/>
    <w:rsid w:val="00ED68CC"/>
    <w:rsid w:val="00ED7922"/>
    <w:rsid w:val="00EE01EA"/>
    <w:rsid w:val="00EE066A"/>
    <w:rsid w:val="00EE2605"/>
    <w:rsid w:val="00EE3A95"/>
    <w:rsid w:val="00EE5692"/>
    <w:rsid w:val="00EE6028"/>
    <w:rsid w:val="00EE6221"/>
    <w:rsid w:val="00EE762C"/>
    <w:rsid w:val="00EE7690"/>
    <w:rsid w:val="00EF011F"/>
    <w:rsid w:val="00EF325F"/>
    <w:rsid w:val="00EF32A7"/>
    <w:rsid w:val="00EF581A"/>
    <w:rsid w:val="00EF5D8B"/>
    <w:rsid w:val="00EF6BCD"/>
    <w:rsid w:val="00F01416"/>
    <w:rsid w:val="00F0261D"/>
    <w:rsid w:val="00F030CA"/>
    <w:rsid w:val="00F0557F"/>
    <w:rsid w:val="00F05DFF"/>
    <w:rsid w:val="00F072D8"/>
    <w:rsid w:val="00F10B79"/>
    <w:rsid w:val="00F11E93"/>
    <w:rsid w:val="00F12D23"/>
    <w:rsid w:val="00F15074"/>
    <w:rsid w:val="00F15855"/>
    <w:rsid w:val="00F1709D"/>
    <w:rsid w:val="00F1745D"/>
    <w:rsid w:val="00F21981"/>
    <w:rsid w:val="00F26554"/>
    <w:rsid w:val="00F30653"/>
    <w:rsid w:val="00F3413D"/>
    <w:rsid w:val="00F37710"/>
    <w:rsid w:val="00F461ED"/>
    <w:rsid w:val="00F63B69"/>
    <w:rsid w:val="00F709A6"/>
    <w:rsid w:val="00F7184A"/>
    <w:rsid w:val="00F77EB0"/>
    <w:rsid w:val="00F81AC1"/>
    <w:rsid w:val="00F83415"/>
    <w:rsid w:val="00F86556"/>
    <w:rsid w:val="00F903E2"/>
    <w:rsid w:val="00F91F8F"/>
    <w:rsid w:val="00FA0215"/>
    <w:rsid w:val="00FA04B9"/>
    <w:rsid w:val="00FA13CC"/>
    <w:rsid w:val="00FA35B4"/>
    <w:rsid w:val="00FB252B"/>
    <w:rsid w:val="00FB2CFC"/>
    <w:rsid w:val="00FB3142"/>
    <w:rsid w:val="00FB560E"/>
    <w:rsid w:val="00FB69E7"/>
    <w:rsid w:val="00FC051F"/>
    <w:rsid w:val="00FC5F9D"/>
    <w:rsid w:val="00FD0622"/>
    <w:rsid w:val="00FD16E0"/>
    <w:rsid w:val="00FD182B"/>
    <w:rsid w:val="00FD446A"/>
    <w:rsid w:val="00FD55F3"/>
    <w:rsid w:val="00FD7A87"/>
    <w:rsid w:val="00FE1522"/>
    <w:rsid w:val="00FE409B"/>
    <w:rsid w:val="00FE5967"/>
    <w:rsid w:val="00FE6645"/>
    <w:rsid w:val="00FE70F4"/>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A1A06E"/>
  <w15:chartTrackingRefBased/>
  <w15:docId w15:val="{5088D101-885E-42D3-99E8-8F8A221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uiPriority w:val="99"/>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uiPriority w:val="39"/>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72F13-09E2-4BED-951A-DB67B5BFA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purl.org/dc/elements/1.1/"/>
    <ds:schemaRef ds:uri="bdd78157-346c-4767-bfdd-352789a5c5f1"/>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2BBBCE85-FF6C-45DD-B9B8-90883129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1507</Words>
  <Characters>8014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Shashika Kapuruhamy</dc:creator>
  <cp:keywords/>
  <dc:description/>
  <cp:lastModifiedBy>Thorsten Hertel (KS)</cp:lastModifiedBy>
  <cp:revision>12</cp:revision>
  <dcterms:created xsi:type="dcterms:W3CDTF">2019-08-16T17:50:00Z</dcterms:created>
  <dcterms:modified xsi:type="dcterms:W3CDTF">2019-08-16T21:50:00Z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